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611"/>
        <w:gridCol w:w="3241"/>
        <w:gridCol w:w="3529"/>
      </w:tblGrid>
      <w:tr w:rsidR="008A10DD">
        <w:trPr>
          <w:tblHeader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LP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PARAMETRY GRANICZNE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WYMAGANE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OFEROWANE</w:t>
            </w:r>
          </w:p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(wypełnia Wykonawca)</w:t>
            </w:r>
          </w:p>
          <w:p w:rsidR="008A10DD" w:rsidRDefault="008A10DD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Analizator HPLC – fabrycznie nowy, rok produkcji nie wcześniej niż 2024 wraz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drukarką.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Pełna nazwa: __________________</w:t>
            </w:r>
          </w:p>
          <w:p w:rsidR="008A10DD" w:rsidRDefault="00986979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produkcji:__________________</w:t>
            </w:r>
          </w:p>
          <w:p w:rsidR="008A10DD" w:rsidRDefault="00986979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 ____________________</w:t>
            </w:r>
          </w:p>
        </w:tc>
      </w:tr>
      <w:tr w:rsidR="008A10D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Analizator dopuszczony do obrotu na terytorium RP, posiadający wymagane przez przepisy prawa świadectwa, certyfikaty, atesty, spełniający wymogi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zakresie norm bezpieczeństwa obsługi, certyfikat CE, do diagnostyki in vitro.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Automatyczny analizator HPLC do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ilościowego oznaczania amin biogennych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w płynach ustrojowych.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Możliwość wykonywania oznaczeń w osoczu, surowicy i moczu.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Analizator musi umożliwiać oznaczenia ilościowe i jakościowe następujących amin biogennych w zakresach nie mniejszych niż:</w:t>
            </w:r>
          </w:p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Serotonina: 5 - 1 000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ug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/L</w:t>
            </w:r>
          </w:p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Metanefryna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: 11 – 2 500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ug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/L</w:t>
            </w:r>
          </w:p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Normetanefryna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: 5 – 2 500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ug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/L</w:t>
            </w:r>
          </w:p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3-metoksytyramina: 10 - 5 000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ug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/L</w:t>
            </w:r>
          </w:p>
          <w:p w:rsidR="008A10DD" w:rsidRDefault="0098697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Kwas 5-hydroksyindylooctowy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: 0.5 - 75 mg/L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Tekstpodstawowy21"/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Analizator zaopatrzony w zewnętrzne urządzenie zasilania awaryjnego UPS podtrzymujące pracę przez co najmniej 20 minut.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Wraz z analizatorem Wykonawca dostarczy certyfikowany zgodnie z normą ISO 13485 zestaw odczynnikowy dedykowany do oznaczania poziomu amin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katecholowych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metanefryna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normetanefryna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, 3-metoksy-tyramina) w moczu, nie mniej niż 100 oznaczeń.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Detektor elektrochemiczny oparty o pomiar zmian potencjału redoks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z wysokowydajną elektrodą.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Elementy układu detekcyjnego stabilizowane termicznie adekwatnie do zestawu metod analitycznych w zakresie nie mniejszym niż +5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C do 100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C, dokładność ustawienia temperatury nie gorsza niż 0.1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C, stabilność temperatury nie gorsza niż ± 0,15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Parametry automatycznego podajnika próbek: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pojemność tacy minimum 100 próbek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dozowanie w zakresie objętości co najmniej 0,1-100 µL i precyzją nie gorszą niż  0,5 %RSD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błąd przenoszenia nie większy niż 0,1%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objętość dozowania definiowana w oprogramowaniu sterującym.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Parametry pompy: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- zakres przepływu minimum 0,001-10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/min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- precyzja przepływu nie gorsza niż ± 0,1% dla 1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/min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- dokładność przepływu nie gorsza niż ± 0,01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/min</w:t>
            </w:r>
          </w:p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maksymalne ciśnienie nie mniejsze niż 400 bar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Naczynia reakcyjne termostatowane adekwatnie do procedury analitycznej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w zakresie nie mniejszym niż od +4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 do +60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Urządzenie wyposażone w wysokociśnieniowy układ przemywania toru analitycznego.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rPr>
          <w:trHeight w:val="574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Ciśnienie robocze w układzie przemywania powinno być nie niższe niż 5500 psi dla objętości 6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 ciągu jednej minuty.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rPr>
          <w:trHeight w:val="526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Analizator zaopatrzony w bezpieczne i szczelne zasobniki na odczynniki na odpowiednich podstawkach, jeśli są wymagane.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Analizator zaopatrzony w bezpieczne i szczelne zasobniki do zbierania odpadów.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Analizator wyposażony w sterownik mikroprocesorowy do kontroli pracy analizatora, program komputerowy do obróbki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chromatogramów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, komputer, monitor oraz drukarkę laserową podłączoną do analizatora.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Wykonywanie w czasie trwania umowy okresowych przeglądów technicznych analizatora (zgodnie z zaleceniami producenta urządzenia minimum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 x w roku), obejmujących: dojazd, pracę inżyniera, wszystkie części zużywalne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zamienne.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Serwisowanie analizatora i sprzętu dodatkowego (w tym: jednostka sterująca, monitor, drukarka, UPS) przez cały okres dzierżawy obejmujące: dojazd, pracę inżyniera serwisu, wszystkie części zużywalne i zamienne oraz niezbędne akcesoria (np. wężyki, przewody odczynnikowe, igły, zawory, elementy  mechaniczne i elektryczne analizatora) związane z bieżącą pracą oferowanego urządzenia.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Bezpłatne aktualizacje oprogramowania podczas trwania umowy.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Interwencja serwisu na zgłoszenie awarii (przyjazd do Zamawiającego</w:t>
            </w:r>
            <w:r>
              <w:rPr>
                <w:rFonts w:ascii="Calibri" w:hAnsi="Calibri" w:cs="Arial"/>
                <w:sz w:val="20"/>
                <w:szCs w:val="20"/>
              </w:rPr>
              <w:br/>
              <w:t>w celu naprawy) do 72h w dni robocze od momentu zgłoszenia awarii autoryzowanemu serwisowi (telefonicznie, faxem, pocztą elektroniczną).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Bezpłatne przeszkolenie użytkowników z zakresu obsługi analizatora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(tj. 2-3 pracowników) z zakresu obsługi analizatora (min.2 szkolenia) w miejscu instalacji urządzenia.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przypadku trzykrotnej awarii tego samego zespołu/podzespołu/modułu systemu w okresie obowiązywania umowy – wymiana systemu na nowy</w:t>
            </w:r>
            <w:r>
              <w:rPr>
                <w:rFonts w:cs="Arial"/>
                <w:sz w:val="20"/>
                <w:szCs w:val="20"/>
              </w:rPr>
              <w:br/>
              <w:t>o parametrach nie niższych niż oferowany, na koszt Wykonawcy.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Tekstpodstawowy21"/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Pokrycie kosztów uczestnictwa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zewnątrzlaboratoryjnej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kontroli jakości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zakresie wszystkich oferowanych oznaczeń.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Producent analizatora musi być również producentem gotowych zestawów odczynnikowych i zapewnić dla nich pełne wspomaganie aplikacyjne.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Wykonawca zapewni pełne wspomaganie techniczne w zakresie uruchomienia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i funkcjonowania urządzenia, jak również pomoc techniczną w uruchamianiu zestawów odczynnikowych podczas trwania umowy.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Rozwiązanie problemu aplikacyjnego musi nastąpić w ciągu 24 godzin w dni robocze od chwili zgłoszenia.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Wykonawca dostarczy opis sposobu utylizacji odpadów wraz z analizatorem w dniu instalacji w wersji papierowej.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Wykonawca dostarczy: opis biologicznego i ogólnego bezpieczeństwa pracy na analizatorze z odczynnikami, instrukcję stanowiskową. Opis dostarczyć wraz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z analizatorem w dniu instalacji ( na urządzeniu USB).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Wykonawca dostarczy: harmonogram wraz z opisem wszystkich wymaganych od użytkownika czynności konserwacyjnych niezbędnych do prawidłowego funkcjonowania analizatora zgodnie z zaleceniami producenta. Opis dostarczyć wraz z analizatorem w dniu instalacji w formie papierowej.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rPr>
          <w:trHeight w:val="4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Wykonawca dostarczy wraz z analizatorem w dniu instalacji w wersji papierowej, a także na urządzeniu USB:</w:t>
            </w:r>
          </w:p>
          <w:p w:rsidR="008A10DD" w:rsidRDefault="00986979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instrukcję obsługi w języku polski</w:t>
            </w:r>
          </w:p>
          <w:p w:rsidR="008A10DD" w:rsidRDefault="00986979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opis wszystkich technologii pomiarów</w:t>
            </w:r>
          </w:p>
          <w:p w:rsidR="008A10DD" w:rsidRDefault="00986979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wykaz alertów w szczególności błędów z instrukcją ich usuwania</w:t>
            </w:r>
          </w:p>
          <w:p w:rsidR="008A10DD" w:rsidRDefault="00986979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- skróconą instrukcję dla użytkownika, </w:t>
            </w:r>
          </w:p>
          <w:p w:rsidR="008A10DD" w:rsidRDefault="00986979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dokumentację niezbędną do nadzoru SOP, LOG</w:t>
            </w:r>
          </w:p>
          <w:p w:rsidR="008A10DD" w:rsidRDefault="00986979">
            <w:pPr>
              <w:widowControl w:val="0"/>
              <w:numPr>
                <w:ilvl w:val="0"/>
                <w:numId w:val="1"/>
              </w:numPr>
              <w:ind w:left="0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karty charakterystyki odczynników, kontroli, kalibratorów i wszystkich wymaganych do prawidłowego użytkowania analizatora substancji.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rPr>
          <w:trHeight w:val="4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Serwisowanie analizatora i sprzętu dodatkowego (w tym: jednostka sterująca, monitor, drukarka, UPS) przez cały okres dzierżawy obejmujące: dojazd, pracę inżyniera serwisu, wszystkie części zużywalne i zamienne oraz niezbędne akcesoria (np. wężyki, przewody odczynnikowe, igły, zawory, elementy  mechaniczne i elektryczne analizatora) związane z bieżącą pracą oferowanego urządzenia.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Aktualne, zgodnie z obowiązującymi przepisami karty charakterystyki substancji niebezpiecznych dla odczynników dostarczone wraz z pierwszą dostawą,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przypadku aktualizacji oraz na każde żądanie Zamawiającego.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0DD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Okres gwarancji analizatora nie może być krótszy niż czas trwania umowy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(36 miesięcy)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986979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0DD" w:rsidRDefault="008A10D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0"/>
    <w:p w:rsidR="008A10DD" w:rsidRDefault="0098697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Niespełnienie któregokolwiek z wymienionych parametrów granicznych spowoduje odrzucenie oferty.</w:t>
      </w:r>
    </w:p>
    <w:p w:rsidR="008A10DD" w:rsidRDefault="008A10DD">
      <w:pPr>
        <w:rPr>
          <w:rFonts w:ascii="Calibri" w:hAnsi="Calibri" w:cs="Calibri"/>
          <w:b/>
          <w:sz w:val="20"/>
          <w:szCs w:val="20"/>
        </w:rPr>
      </w:pPr>
    </w:p>
    <w:p w:rsidR="008A10DD" w:rsidRDefault="008A10DD">
      <w:pPr>
        <w:rPr>
          <w:rFonts w:ascii="Calibri" w:hAnsi="Calibri" w:cs="Calibri"/>
          <w:b/>
          <w:sz w:val="20"/>
          <w:szCs w:val="20"/>
        </w:rPr>
      </w:pPr>
    </w:p>
    <w:p w:rsidR="008A10DD" w:rsidRDefault="00986979">
      <w:pPr>
        <w:ind w:left="6946" w:hanging="14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Dokument należy podpisać kwalifikowanym podpisem elektronicznym przez osobę(y) uprawnioną(e) do składania oświadczeń woli w imieniu Wykonawcy, zgodnie z formą reprezentacji Wykonawcy określoną w dokumencie rejestracyjnym (ewidencyjnym) właściwym dla formy organizacyjnej Wykonawcy lub pełnomocnika</w:t>
      </w:r>
    </w:p>
    <w:p w:rsidR="008A10DD" w:rsidRDefault="008A10DD">
      <w:pPr>
        <w:rPr>
          <w:rFonts w:ascii="Calibri" w:hAnsi="Calibri" w:cs="Calibri"/>
          <w:b/>
          <w:sz w:val="20"/>
          <w:szCs w:val="20"/>
        </w:rPr>
      </w:pPr>
    </w:p>
    <w:sectPr w:rsidR="008A10DD">
      <w:headerReference w:type="default" r:id="rId8"/>
      <w:footerReference w:type="default" r:id="rId9"/>
      <w:pgSz w:w="16838" w:h="11906" w:orient="landscape"/>
      <w:pgMar w:top="1418" w:right="1418" w:bottom="766" w:left="1418" w:header="902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23" w:rsidRDefault="00FF6223">
      <w:r>
        <w:separator/>
      </w:r>
    </w:p>
  </w:endnote>
  <w:endnote w:type="continuationSeparator" w:id="0">
    <w:p w:rsidR="00FF6223" w:rsidRDefault="00FF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DD" w:rsidRDefault="008A10DD">
    <w:pPr>
      <w:rPr>
        <w:rFonts w:ascii="Bookman Old Style" w:hAnsi="Bookman Old Style" w:cs="Bookman Old Style"/>
        <w:sz w:val="16"/>
        <w:szCs w:val="16"/>
      </w:rPr>
    </w:pPr>
  </w:p>
  <w:p w:rsidR="008A10DD" w:rsidRDefault="00986979">
    <w:pPr>
      <w:ind w:right="36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B43C52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23" w:rsidRDefault="00FF6223">
      <w:r>
        <w:separator/>
      </w:r>
    </w:p>
  </w:footnote>
  <w:footnote w:type="continuationSeparator" w:id="0">
    <w:p w:rsidR="00FF6223" w:rsidRDefault="00FF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DD" w:rsidRPr="00DA4363" w:rsidRDefault="004F074A">
    <w:pPr>
      <w:jc w:val="both"/>
      <w:rPr>
        <w:rFonts w:ascii="Calibri" w:hAnsi="Calibri"/>
        <w:sz w:val="20"/>
      </w:rPr>
    </w:pP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</w:r>
    <w:r w:rsidRPr="00DA4363">
      <w:rPr>
        <w:rFonts w:ascii="Calibri" w:hAnsi="Calibri"/>
        <w:sz w:val="20"/>
      </w:rPr>
      <w:tab/>
      <w:t>Załącznik nr 2 do zapytania DO/DZ-072</w:t>
    </w:r>
    <w:r w:rsidR="00DA4363">
      <w:rPr>
        <w:rFonts w:ascii="Calibri" w:hAnsi="Calibri"/>
        <w:sz w:val="20"/>
      </w:rPr>
      <w:t>-15</w:t>
    </w:r>
    <w:r w:rsidR="0084020A">
      <w:rPr>
        <w:rFonts w:ascii="Calibri" w:hAnsi="Calibri"/>
        <w:sz w:val="20"/>
      </w:rPr>
      <w:t>8</w:t>
    </w:r>
    <w:r w:rsidRPr="00DA4363">
      <w:rPr>
        <w:rFonts w:ascii="Calibri" w:hAnsi="Calibri"/>
        <w:sz w:val="20"/>
      </w:rPr>
      <w:t>/24</w:t>
    </w:r>
  </w:p>
  <w:p w:rsidR="004F074A" w:rsidRDefault="004F074A">
    <w:pPr>
      <w:jc w:val="both"/>
      <w:rPr>
        <w:rFonts w:ascii="Calibri" w:hAnsi="Calibri"/>
      </w:rPr>
    </w:pPr>
  </w:p>
  <w:p w:rsidR="008A10DD" w:rsidRDefault="00986979">
    <w:pPr>
      <w:jc w:val="center"/>
      <w:rPr>
        <w:rFonts w:ascii="Calibri" w:hAnsi="Calibri" w:cs="Calibri"/>
        <w:color w:val="365F91"/>
        <w:sz w:val="20"/>
        <w:szCs w:val="20"/>
      </w:rPr>
    </w:pPr>
    <w:r>
      <w:rPr>
        <w:rFonts w:ascii="Arial" w:hAnsi="Arial" w:cs="Arial"/>
        <w:b/>
        <w:bCs/>
        <w:color w:val="365F91"/>
        <w:sz w:val="20"/>
        <w:szCs w:val="20"/>
      </w:rPr>
      <w:t xml:space="preserve">SUKCESYWNE DOSTAWY ODCZYNNIKÓW WRAZ Z DZIERŻAWĄ AUTOMATYCZNEGO ANALIZATORA HPLC DO ILOŚCIOWEGO OZNACZANIA AMIN BIOGENNYCH W PŁYNACH USTROJOWYCH </w:t>
    </w:r>
    <w:r>
      <w:rPr>
        <w:rFonts w:ascii="Arial" w:hAnsi="Arial" w:cstheme="minorHAnsi"/>
        <w:b/>
        <w:bCs/>
        <w:color w:val="365F91"/>
        <w:sz w:val="20"/>
        <w:szCs w:val="20"/>
      </w:rPr>
      <w:t>DLA NARODOWEGO INSTYTUTU ONKOLOGII IM. MARII SKŁODOWSKIEJ-CURIE – PAŃSTWOWEGO INSTYTUTU BADAWCZEGO ODDZIAŁU W GLIWICACH</w:t>
    </w:r>
  </w:p>
  <w:p w:rsidR="008A10DD" w:rsidRDefault="008A10DD">
    <w:pPr>
      <w:jc w:val="center"/>
      <w:rPr>
        <w:rFonts w:ascii="Calibri" w:hAnsi="Calibri" w:cs="Calibri"/>
        <w:b/>
        <w:sz w:val="20"/>
        <w:szCs w:val="20"/>
      </w:rPr>
    </w:pPr>
  </w:p>
  <w:p w:rsidR="008A10DD" w:rsidRDefault="00986979">
    <w:pPr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P A R A M E T R Y  W Y M A G A N E</w:t>
    </w:r>
  </w:p>
  <w:p w:rsidR="00B43C52" w:rsidRDefault="00B43C52">
    <w:pPr>
      <w:jc w:val="center"/>
      <w:rPr>
        <w:rFonts w:ascii="Calibri" w:hAnsi="Calibri" w:cs="Calibri"/>
        <w:b/>
        <w:sz w:val="20"/>
        <w:szCs w:val="20"/>
      </w:rPr>
    </w:pPr>
  </w:p>
  <w:p w:rsidR="00B43C52" w:rsidRDefault="00B43C52">
    <w:pPr>
      <w:jc w:val="center"/>
      <w:rPr>
        <w:rFonts w:ascii="Calibri" w:hAnsi="Calibri" w:cs="Calibri"/>
        <w:b/>
        <w:sz w:val="20"/>
        <w:szCs w:val="20"/>
      </w:rPr>
    </w:pPr>
  </w:p>
  <w:p w:rsidR="00B43C52" w:rsidRDefault="00B43C52">
    <w:pPr>
      <w:jc w:val="center"/>
      <w:rPr>
        <w:rFonts w:ascii="Calibri" w:hAnsi="Calibri" w:cs="Calibri"/>
        <w:sz w:val="20"/>
        <w:szCs w:val="20"/>
      </w:rPr>
    </w:pPr>
  </w:p>
  <w:p w:rsidR="008A10DD" w:rsidRDefault="008A10DD">
    <w:pPr>
      <w:rPr>
        <w:rFonts w:ascii="Bookman Old Style" w:hAnsi="Bookman Old Style" w:cs="Bookman Old Style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B02"/>
    <w:multiLevelType w:val="multilevel"/>
    <w:tmpl w:val="E4762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60C0A"/>
    <w:multiLevelType w:val="multilevel"/>
    <w:tmpl w:val="32F8BC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DD"/>
    <w:rsid w:val="002157FB"/>
    <w:rsid w:val="004E619A"/>
    <w:rsid w:val="004F074A"/>
    <w:rsid w:val="0084020A"/>
    <w:rsid w:val="008A10DD"/>
    <w:rsid w:val="00986979"/>
    <w:rsid w:val="00B43C52"/>
    <w:rsid w:val="00DA4363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DF610"/>
  <w15:docId w15:val="{F669ACEF-9196-4668-82D1-5DC7252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E24C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E24C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3CF1"/>
  </w:style>
  <w:style w:type="character" w:customStyle="1" w:styleId="StopkaZnak">
    <w:name w:val="Stopka Znak"/>
    <w:basedOn w:val="Domylnaczcionkaakapitu"/>
    <w:link w:val="Stopka"/>
    <w:uiPriority w:val="99"/>
    <w:qFormat/>
    <w:rsid w:val="004B3CF1"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B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4CC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40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75D0-8B33-42A6-B9D1-84ED0216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subject/>
  <dc:creator>Dział Zamówień</dc:creator>
  <dc:description/>
  <cp:lastModifiedBy>Ewa Stelmach</cp:lastModifiedBy>
  <cp:revision>7</cp:revision>
  <cp:lastPrinted>2024-07-17T10:21:00Z</cp:lastPrinted>
  <dcterms:created xsi:type="dcterms:W3CDTF">2024-07-17T05:43:00Z</dcterms:created>
  <dcterms:modified xsi:type="dcterms:W3CDTF">2024-07-17T11:44:00Z</dcterms:modified>
  <dc:language>pl-PL</dc:language>
</cp:coreProperties>
</file>