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A33" w:rsidRPr="00EE30A9" w:rsidRDefault="00EE30A9" w:rsidP="00881A33">
      <w:pPr>
        <w:rPr>
          <w:rFonts w:cstheme="minorHAnsi"/>
          <w:b/>
          <w:sz w:val="18"/>
        </w:rPr>
      </w:pPr>
      <w:r w:rsidRPr="00EE30A9">
        <w:rPr>
          <w:rFonts w:cstheme="minorHAnsi"/>
          <w:b/>
          <w:sz w:val="18"/>
        </w:rPr>
        <w:t>Zestawy do oceny genów fuzyjnych, MSI oraz wariantów w komórkach nowotworowych z zastosowaniem sekwenatora nowej generacji MiniSeq (Illumina) wraz z analizą danych.</w:t>
      </w:r>
    </w:p>
    <w:tbl>
      <w:tblPr>
        <w:tblStyle w:val="Tabela-Siatka"/>
        <w:tblW w:w="14454" w:type="dxa"/>
        <w:tblLook w:val="04A0" w:firstRow="1" w:lastRow="0" w:firstColumn="1" w:lastColumn="0" w:noHBand="0" w:noVBand="1"/>
      </w:tblPr>
      <w:tblGrid>
        <w:gridCol w:w="478"/>
        <w:gridCol w:w="2399"/>
        <w:gridCol w:w="2860"/>
        <w:gridCol w:w="1349"/>
        <w:gridCol w:w="1233"/>
        <w:gridCol w:w="1186"/>
        <w:gridCol w:w="1186"/>
        <w:gridCol w:w="1211"/>
        <w:gridCol w:w="1134"/>
        <w:gridCol w:w="1418"/>
      </w:tblGrid>
      <w:tr w:rsidR="00CD4394" w:rsidRPr="00CD4394" w:rsidTr="002F5520">
        <w:trPr>
          <w:trHeight w:val="720"/>
        </w:trPr>
        <w:tc>
          <w:tcPr>
            <w:tcW w:w="478" w:type="dxa"/>
            <w:shd w:val="clear" w:color="auto" w:fill="DEEAF6" w:themeFill="accent1" w:themeFillTint="33"/>
            <w:hideMark/>
          </w:tcPr>
          <w:p w:rsidR="00CD4394" w:rsidRPr="00CD4394" w:rsidRDefault="00CD4394" w:rsidP="00CD4394">
            <w:pPr>
              <w:rPr>
                <w:rFonts w:asciiTheme="majorHAnsi" w:hAnsiTheme="majorHAnsi" w:cstheme="majorHAnsi"/>
                <w:sz w:val="16"/>
                <w:szCs w:val="16"/>
              </w:rPr>
            </w:pPr>
            <w:r w:rsidRPr="00CD4394">
              <w:rPr>
                <w:rFonts w:asciiTheme="majorHAnsi" w:hAnsiTheme="majorHAnsi" w:cstheme="majorHAnsi"/>
                <w:sz w:val="16"/>
                <w:szCs w:val="16"/>
              </w:rPr>
              <w:t>LP.</w:t>
            </w:r>
          </w:p>
        </w:tc>
        <w:tc>
          <w:tcPr>
            <w:tcW w:w="2399" w:type="dxa"/>
            <w:shd w:val="clear" w:color="auto" w:fill="DEEAF6" w:themeFill="accent1" w:themeFillTint="33"/>
            <w:hideMark/>
          </w:tcPr>
          <w:p w:rsidR="00CD4394" w:rsidRPr="00CD4394" w:rsidRDefault="00CD4394" w:rsidP="00CD4394">
            <w:pPr>
              <w:rPr>
                <w:rFonts w:asciiTheme="majorHAnsi" w:hAnsiTheme="majorHAnsi" w:cstheme="majorHAnsi"/>
                <w:sz w:val="16"/>
                <w:szCs w:val="16"/>
              </w:rPr>
            </w:pPr>
            <w:r w:rsidRPr="00CD4394">
              <w:rPr>
                <w:rFonts w:asciiTheme="majorHAnsi" w:hAnsiTheme="majorHAnsi" w:cstheme="majorHAnsi"/>
                <w:sz w:val="16"/>
                <w:szCs w:val="16"/>
              </w:rPr>
              <w:t>NAZWA PRODUKTU</w:t>
            </w:r>
          </w:p>
        </w:tc>
        <w:tc>
          <w:tcPr>
            <w:tcW w:w="2860" w:type="dxa"/>
            <w:shd w:val="clear" w:color="auto" w:fill="DEEAF6" w:themeFill="accent1" w:themeFillTint="33"/>
            <w:noWrap/>
            <w:hideMark/>
          </w:tcPr>
          <w:p w:rsidR="00CD4394" w:rsidRPr="00CD4394" w:rsidRDefault="00CD4394" w:rsidP="00CD4394">
            <w:pPr>
              <w:rPr>
                <w:rFonts w:asciiTheme="majorHAnsi" w:hAnsiTheme="majorHAnsi" w:cstheme="majorHAnsi"/>
                <w:sz w:val="16"/>
                <w:szCs w:val="16"/>
              </w:rPr>
            </w:pPr>
            <w:r w:rsidRPr="00CD4394">
              <w:rPr>
                <w:rFonts w:asciiTheme="majorHAnsi" w:hAnsiTheme="majorHAnsi" w:cstheme="majorHAnsi"/>
                <w:sz w:val="16"/>
                <w:szCs w:val="16"/>
              </w:rPr>
              <w:t>WYMAGANIA WOBEC PRZEDMIOTU ZAPOTRZEBOWANIA</w:t>
            </w:r>
          </w:p>
        </w:tc>
        <w:tc>
          <w:tcPr>
            <w:tcW w:w="1349" w:type="dxa"/>
            <w:shd w:val="clear" w:color="auto" w:fill="DEEAF6" w:themeFill="accent1" w:themeFillTint="33"/>
            <w:hideMark/>
          </w:tcPr>
          <w:p w:rsidR="00CD4394" w:rsidRPr="00CD4394" w:rsidRDefault="00CD4394" w:rsidP="00CD4394">
            <w:pPr>
              <w:rPr>
                <w:rFonts w:asciiTheme="majorHAnsi" w:hAnsiTheme="majorHAnsi" w:cstheme="majorHAnsi"/>
                <w:sz w:val="16"/>
                <w:szCs w:val="16"/>
              </w:rPr>
            </w:pPr>
            <w:r w:rsidRPr="00CD4394">
              <w:rPr>
                <w:rFonts w:asciiTheme="majorHAnsi" w:hAnsiTheme="majorHAnsi" w:cstheme="majorHAnsi"/>
                <w:sz w:val="16"/>
                <w:szCs w:val="16"/>
              </w:rPr>
              <w:t>j.m.</w:t>
            </w:r>
          </w:p>
        </w:tc>
        <w:tc>
          <w:tcPr>
            <w:tcW w:w="1233" w:type="dxa"/>
            <w:shd w:val="clear" w:color="auto" w:fill="DEEAF6" w:themeFill="accent1" w:themeFillTint="33"/>
            <w:hideMark/>
          </w:tcPr>
          <w:p w:rsidR="00CD4394" w:rsidRPr="00CD4394" w:rsidRDefault="00CD4394" w:rsidP="00CD4394">
            <w:pPr>
              <w:rPr>
                <w:rFonts w:asciiTheme="majorHAnsi" w:hAnsiTheme="majorHAnsi" w:cstheme="majorHAnsi"/>
                <w:sz w:val="16"/>
                <w:szCs w:val="16"/>
              </w:rPr>
            </w:pPr>
            <w:r w:rsidRPr="00CD4394">
              <w:rPr>
                <w:rFonts w:asciiTheme="majorHAnsi" w:hAnsiTheme="majorHAnsi" w:cstheme="majorHAnsi"/>
                <w:sz w:val="16"/>
                <w:szCs w:val="16"/>
              </w:rPr>
              <w:t>ILOŚĆ SZTUK</w:t>
            </w:r>
          </w:p>
        </w:tc>
        <w:tc>
          <w:tcPr>
            <w:tcW w:w="1186"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CD4394" w:rsidRPr="00CD4394" w:rsidRDefault="00CD4394" w:rsidP="00CD4394">
            <w:pPr>
              <w:jc w:val="center"/>
              <w:rPr>
                <w:rFonts w:asciiTheme="majorHAnsi" w:hAnsiTheme="majorHAnsi" w:cstheme="majorHAnsi"/>
                <w:sz w:val="16"/>
                <w:szCs w:val="16"/>
              </w:rPr>
            </w:pPr>
            <w:r w:rsidRPr="00CD4394">
              <w:rPr>
                <w:rFonts w:asciiTheme="majorHAnsi" w:hAnsiTheme="majorHAnsi" w:cstheme="majorHAnsi"/>
                <w:sz w:val="16"/>
                <w:szCs w:val="16"/>
              </w:rPr>
              <w:t>Cena jedn.</w:t>
            </w:r>
            <w:r w:rsidRPr="00CD4394">
              <w:rPr>
                <w:rFonts w:asciiTheme="majorHAnsi" w:hAnsiTheme="majorHAnsi" w:cstheme="majorHAnsi"/>
                <w:sz w:val="16"/>
                <w:szCs w:val="16"/>
              </w:rPr>
              <w:br/>
              <w:t>netto</w:t>
            </w:r>
          </w:p>
        </w:tc>
        <w:tc>
          <w:tcPr>
            <w:tcW w:w="1186"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CD4394" w:rsidRPr="00CD4394" w:rsidRDefault="00CD4394" w:rsidP="00CD4394">
            <w:pPr>
              <w:spacing w:line="360" w:lineRule="auto"/>
              <w:jc w:val="center"/>
              <w:rPr>
                <w:rFonts w:asciiTheme="majorHAnsi" w:hAnsiTheme="majorHAnsi" w:cstheme="majorHAnsi"/>
                <w:sz w:val="16"/>
                <w:szCs w:val="16"/>
              </w:rPr>
            </w:pPr>
            <w:r w:rsidRPr="00CD4394">
              <w:rPr>
                <w:rFonts w:asciiTheme="majorHAnsi" w:hAnsiTheme="majorHAnsi" w:cstheme="majorHAnsi"/>
                <w:sz w:val="16"/>
                <w:szCs w:val="16"/>
              </w:rPr>
              <w:t>Wartość netto</w:t>
            </w:r>
          </w:p>
        </w:tc>
        <w:tc>
          <w:tcPr>
            <w:tcW w:w="121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CD4394" w:rsidRPr="00CD4394" w:rsidRDefault="00CD4394" w:rsidP="00CD4394">
            <w:pPr>
              <w:spacing w:line="360" w:lineRule="auto"/>
              <w:jc w:val="center"/>
              <w:rPr>
                <w:rFonts w:asciiTheme="majorHAnsi" w:hAnsiTheme="majorHAnsi" w:cstheme="majorHAnsi"/>
                <w:sz w:val="16"/>
                <w:szCs w:val="16"/>
              </w:rPr>
            </w:pPr>
            <w:r w:rsidRPr="00CD4394">
              <w:rPr>
                <w:rFonts w:asciiTheme="majorHAnsi" w:hAnsiTheme="majorHAnsi" w:cstheme="majorHAnsi"/>
                <w:sz w:val="16"/>
                <w:szCs w:val="16"/>
              </w:rPr>
              <w:t>VAT %</w:t>
            </w:r>
          </w:p>
        </w:tc>
        <w:tc>
          <w:tcPr>
            <w:tcW w:w="1134"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CD4394" w:rsidRPr="00CD4394" w:rsidRDefault="00CD4394" w:rsidP="00CD4394">
            <w:pPr>
              <w:spacing w:line="360" w:lineRule="auto"/>
              <w:jc w:val="center"/>
              <w:rPr>
                <w:rFonts w:asciiTheme="majorHAnsi" w:hAnsiTheme="majorHAnsi" w:cstheme="majorHAnsi"/>
                <w:sz w:val="16"/>
                <w:szCs w:val="16"/>
              </w:rPr>
            </w:pPr>
            <w:r w:rsidRPr="00CD4394">
              <w:rPr>
                <w:rFonts w:asciiTheme="majorHAnsi" w:hAnsiTheme="majorHAnsi" w:cstheme="majorHAnsi"/>
                <w:sz w:val="16"/>
                <w:szCs w:val="16"/>
              </w:rPr>
              <w:t>Wartość brutto</w:t>
            </w:r>
          </w:p>
        </w:tc>
        <w:tc>
          <w:tcPr>
            <w:tcW w:w="1418"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CD4394" w:rsidRPr="00CD4394" w:rsidRDefault="00CD4394" w:rsidP="00CD4394">
            <w:pPr>
              <w:spacing w:line="360" w:lineRule="auto"/>
              <w:jc w:val="center"/>
              <w:rPr>
                <w:rFonts w:asciiTheme="majorHAnsi" w:hAnsiTheme="majorHAnsi" w:cstheme="majorHAnsi"/>
                <w:sz w:val="16"/>
                <w:szCs w:val="16"/>
              </w:rPr>
            </w:pPr>
            <w:r w:rsidRPr="00CD4394">
              <w:rPr>
                <w:rFonts w:asciiTheme="majorHAnsi" w:hAnsiTheme="majorHAnsi" w:cstheme="majorHAnsi"/>
                <w:sz w:val="16"/>
                <w:szCs w:val="16"/>
              </w:rPr>
              <w:t>Nr katalogowy/ nazwa producenta</w:t>
            </w:r>
          </w:p>
        </w:tc>
      </w:tr>
      <w:tr w:rsidR="00CD4394" w:rsidRPr="00CD4394" w:rsidTr="00CD4394">
        <w:trPr>
          <w:trHeight w:val="1890"/>
        </w:trPr>
        <w:tc>
          <w:tcPr>
            <w:tcW w:w="478" w:type="dxa"/>
            <w:noWrap/>
            <w:hideMark/>
          </w:tcPr>
          <w:p w:rsidR="00CD4394" w:rsidRPr="00CD4394" w:rsidRDefault="00CD4394" w:rsidP="00CD4394">
            <w:pPr>
              <w:rPr>
                <w:rFonts w:asciiTheme="majorHAnsi" w:hAnsiTheme="majorHAnsi" w:cstheme="majorHAnsi"/>
                <w:sz w:val="16"/>
                <w:szCs w:val="16"/>
              </w:rPr>
            </w:pPr>
            <w:r w:rsidRPr="00CD4394">
              <w:rPr>
                <w:rFonts w:asciiTheme="majorHAnsi" w:hAnsiTheme="majorHAnsi" w:cstheme="majorHAnsi"/>
                <w:sz w:val="16"/>
                <w:szCs w:val="16"/>
              </w:rPr>
              <w:t>1</w:t>
            </w:r>
          </w:p>
        </w:tc>
        <w:tc>
          <w:tcPr>
            <w:tcW w:w="2399" w:type="dxa"/>
            <w:hideMark/>
          </w:tcPr>
          <w:p w:rsidR="00CD4394" w:rsidRPr="00EE30A9" w:rsidRDefault="00EE30A9" w:rsidP="00CD4394">
            <w:pPr>
              <w:rPr>
                <w:rFonts w:asciiTheme="majorHAnsi" w:hAnsiTheme="majorHAnsi" w:cstheme="majorHAnsi"/>
                <w:sz w:val="16"/>
                <w:szCs w:val="16"/>
              </w:rPr>
            </w:pPr>
            <w:r w:rsidRPr="00EE30A9">
              <w:rPr>
                <w:rFonts w:asciiTheme="majorHAnsi" w:hAnsiTheme="majorHAnsi" w:cstheme="majorHAnsi"/>
                <w:sz w:val="16"/>
              </w:rPr>
              <w:t>Zestaw FusionPlex CTL do oceny genów fuzyjnych w nowotworach tarczycy oraz płuc z zastosowaniem sekwenatora nowej generacji MiniSeq (Illumina) wraz z analizą danych lub równoważny. Równoważność oznacza, że zaproponowane odczynniki zużywalne są kompatybilne z aparatem MiniSeq Illumina i spełniają wszystkie opisane wymagania</w:t>
            </w:r>
          </w:p>
        </w:tc>
        <w:tc>
          <w:tcPr>
            <w:tcW w:w="2860" w:type="dxa"/>
            <w:hideMark/>
          </w:tcPr>
          <w:p w:rsidR="00EE30A9" w:rsidRPr="00FE2FB1" w:rsidRDefault="00EE30A9" w:rsidP="00EE30A9">
            <w:pPr>
              <w:pStyle w:val="NormalnyWeb"/>
              <w:spacing w:after="0"/>
              <w:rPr>
                <w:rFonts w:asciiTheme="majorHAnsi" w:hAnsiTheme="majorHAnsi" w:cstheme="majorHAnsi"/>
                <w:sz w:val="16"/>
                <w:szCs w:val="22"/>
              </w:rPr>
            </w:pPr>
            <w:r w:rsidRPr="00FE2FB1">
              <w:rPr>
                <w:rFonts w:asciiTheme="majorHAnsi" w:hAnsiTheme="majorHAnsi" w:cstheme="majorHAnsi"/>
                <w:sz w:val="16"/>
                <w:szCs w:val="22"/>
              </w:rPr>
              <w:t xml:space="preserve">Zestaw powinien umożliwić ocenę fuzji genowych metodą sekwencjonowania nowej generacji dla genów wymienionych poniżej, które najczęściej ulegają rearanżacjom w komórkach raka: ALK; AXL; BRAF; CCND1; EGFR; FGFR1; FGFR2; FGFR3; MET; NRG1; NTRK1; NTRK2; NTRK3; PPARG; RAF1; RET; ROS1; THADA. Zestaw powinien też umożliwić ocenę ekspresji genów: ALK, BRAF, EGFR, MET, NTRK1, NTRK2, NTRK3, RET, ROS1. Zestaw powinien umożliwić wykonanie badania dla małych ilości materiału wyjściowego (ok. 10 ng RNA) dla materiału świeżego. Zestaw powinien umożliwić ocenę fuzji genowych w materiale archiwalnym np. bloczki parafinowe. </w:t>
            </w:r>
          </w:p>
          <w:p w:rsidR="00EE30A9" w:rsidRPr="00FE2FB1" w:rsidRDefault="00EE30A9" w:rsidP="00EE30A9">
            <w:pPr>
              <w:pStyle w:val="NormalnyWeb"/>
              <w:spacing w:after="0"/>
              <w:rPr>
                <w:rFonts w:asciiTheme="majorHAnsi" w:hAnsiTheme="majorHAnsi" w:cstheme="majorHAnsi"/>
                <w:sz w:val="16"/>
                <w:szCs w:val="22"/>
              </w:rPr>
            </w:pPr>
            <w:r w:rsidRPr="00FE2FB1">
              <w:rPr>
                <w:rFonts w:asciiTheme="majorHAnsi" w:hAnsiTheme="majorHAnsi" w:cstheme="majorHAnsi"/>
                <w:sz w:val="16"/>
                <w:szCs w:val="22"/>
              </w:rPr>
              <w:t xml:space="preserve">Proponowany produkt musi być kompatybilny z sekwenatorem MiniSeq Illumina co oznacza, że uzyskana biblioteka może być sekwencjonowana na tym sekwenatorze i nie wymaga zastosowania dodatkowych odczynników lub dodatkowego wyposażenia aparatu aby przystosować bibliotekę do sekwencjonowania z wykorzystaniem ww. aparatu.  </w:t>
            </w:r>
          </w:p>
          <w:p w:rsidR="00CD4394" w:rsidRPr="00CD4394" w:rsidRDefault="00EE30A9" w:rsidP="00EE30A9">
            <w:pPr>
              <w:rPr>
                <w:rFonts w:asciiTheme="majorHAnsi" w:hAnsiTheme="majorHAnsi" w:cstheme="majorHAnsi"/>
                <w:sz w:val="16"/>
                <w:szCs w:val="16"/>
              </w:rPr>
            </w:pPr>
            <w:r w:rsidRPr="00FE2FB1">
              <w:rPr>
                <w:rFonts w:asciiTheme="majorHAnsi" w:hAnsiTheme="majorHAnsi" w:cstheme="majorHAnsi"/>
                <w:sz w:val="16"/>
              </w:rPr>
              <w:t>Proponowany produkt musi zawierać odpowiednią ilość adapterów do przeprowadzenia reakcji. Proponowany produkt powinien umożliwić analizę uzyskanych danych.</w:t>
            </w:r>
          </w:p>
        </w:tc>
        <w:tc>
          <w:tcPr>
            <w:tcW w:w="1349" w:type="dxa"/>
            <w:hideMark/>
          </w:tcPr>
          <w:p w:rsidR="00CD4394" w:rsidRPr="00EE30A9" w:rsidRDefault="00EE30A9" w:rsidP="00CD4394">
            <w:pPr>
              <w:rPr>
                <w:rFonts w:asciiTheme="majorHAnsi" w:hAnsiTheme="majorHAnsi" w:cstheme="majorHAnsi"/>
                <w:sz w:val="16"/>
                <w:szCs w:val="16"/>
              </w:rPr>
            </w:pPr>
            <w:r w:rsidRPr="00EE30A9">
              <w:rPr>
                <w:rFonts w:asciiTheme="majorHAnsi" w:hAnsiTheme="majorHAnsi" w:cstheme="majorHAnsi"/>
                <w:sz w:val="16"/>
              </w:rPr>
              <w:t>1 op.-48 reakcji</w:t>
            </w:r>
          </w:p>
        </w:tc>
        <w:tc>
          <w:tcPr>
            <w:tcW w:w="1233" w:type="dxa"/>
            <w:hideMark/>
          </w:tcPr>
          <w:p w:rsidR="00CD4394" w:rsidRPr="00EE30A9" w:rsidRDefault="00EE30A9" w:rsidP="00CD4394">
            <w:pPr>
              <w:rPr>
                <w:rFonts w:asciiTheme="majorHAnsi" w:hAnsiTheme="majorHAnsi" w:cstheme="majorHAnsi"/>
                <w:sz w:val="16"/>
                <w:szCs w:val="16"/>
              </w:rPr>
            </w:pPr>
            <w:r w:rsidRPr="00EE30A9">
              <w:rPr>
                <w:rFonts w:asciiTheme="majorHAnsi" w:hAnsiTheme="majorHAnsi" w:cstheme="majorHAnsi"/>
                <w:sz w:val="16"/>
              </w:rPr>
              <w:t>1 opakowanie</w:t>
            </w:r>
          </w:p>
        </w:tc>
        <w:tc>
          <w:tcPr>
            <w:tcW w:w="1186" w:type="dxa"/>
          </w:tcPr>
          <w:p w:rsidR="00CD4394" w:rsidRPr="00CD4394" w:rsidRDefault="00CD4394" w:rsidP="00CD4394">
            <w:pPr>
              <w:rPr>
                <w:rFonts w:asciiTheme="majorHAnsi" w:hAnsiTheme="majorHAnsi" w:cstheme="majorHAnsi"/>
                <w:sz w:val="16"/>
                <w:szCs w:val="16"/>
              </w:rPr>
            </w:pPr>
          </w:p>
        </w:tc>
        <w:tc>
          <w:tcPr>
            <w:tcW w:w="1186" w:type="dxa"/>
          </w:tcPr>
          <w:p w:rsidR="00CD4394" w:rsidRPr="00CD4394" w:rsidRDefault="00CD4394" w:rsidP="00CD4394">
            <w:pPr>
              <w:rPr>
                <w:rFonts w:asciiTheme="majorHAnsi" w:hAnsiTheme="majorHAnsi" w:cstheme="majorHAnsi"/>
                <w:sz w:val="16"/>
                <w:szCs w:val="16"/>
              </w:rPr>
            </w:pPr>
          </w:p>
        </w:tc>
        <w:tc>
          <w:tcPr>
            <w:tcW w:w="1211" w:type="dxa"/>
          </w:tcPr>
          <w:p w:rsidR="00CD4394" w:rsidRPr="00CD4394" w:rsidRDefault="00CD4394" w:rsidP="00CD4394">
            <w:pPr>
              <w:rPr>
                <w:rFonts w:asciiTheme="majorHAnsi" w:hAnsiTheme="majorHAnsi" w:cstheme="majorHAnsi"/>
                <w:sz w:val="16"/>
                <w:szCs w:val="16"/>
              </w:rPr>
            </w:pPr>
          </w:p>
        </w:tc>
        <w:tc>
          <w:tcPr>
            <w:tcW w:w="1134" w:type="dxa"/>
          </w:tcPr>
          <w:p w:rsidR="00CD4394" w:rsidRPr="00CD4394" w:rsidRDefault="00CD4394" w:rsidP="00CD4394">
            <w:pPr>
              <w:rPr>
                <w:rFonts w:asciiTheme="majorHAnsi" w:hAnsiTheme="majorHAnsi" w:cstheme="majorHAnsi"/>
                <w:sz w:val="16"/>
                <w:szCs w:val="16"/>
              </w:rPr>
            </w:pPr>
          </w:p>
        </w:tc>
        <w:tc>
          <w:tcPr>
            <w:tcW w:w="1418" w:type="dxa"/>
          </w:tcPr>
          <w:p w:rsidR="00CD4394" w:rsidRPr="00CD4394" w:rsidRDefault="00CD4394" w:rsidP="00CD4394">
            <w:pPr>
              <w:rPr>
                <w:rFonts w:asciiTheme="majorHAnsi" w:hAnsiTheme="majorHAnsi" w:cstheme="majorHAnsi"/>
                <w:sz w:val="16"/>
                <w:szCs w:val="16"/>
              </w:rPr>
            </w:pPr>
          </w:p>
        </w:tc>
      </w:tr>
      <w:tr w:rsidR="00CD4394" w:rsidRPr="00CD4394" w:rsidTr="00CD4394">
        <w:trPr>
          <w:trHeight w:val="2115"/>
        </w:trPr>
        <w:tc>
          <w:tcPr>
            <w:tcW w:w="478" w:type="dxa"/>
            <w:noWrap/>
            <w:hideMark/>
          </w:tcPr>
          <w:p w:rsidR="00CD4394" w:rsidRPr="00CD4394" w:rsidRDefault="00CD4394" w:rsidP="00CD4394">
            <w:pPr>
              <w:rPr>
                <w:rFonts w:asciiTheme="majorHAnsi" w:hAnsiTheme="majorHAnsi" w:cstheme="majorHAnsi"/>
                <w:sz w:val="16"/>
                <w:szCs w:val="16"/>
              </w:rPr>
            </w:pPr>
            <w:r w:rsidRPr="00CD4394">
              <w:rPr>
                <w:rFonts w:asciiTheme="majorHAnsi" w:hAnsiTheme="majorHAnsi" w:cstheme="majorHAnsi"/>
                <w:sz w:val="16"/>
                <w:szCs w:val="16"/>
              </w:rPr>
              <w:lastRenderedPageBreak/>
              <w:t>2</w:t>
            </w:r>
          </w:p>
        </w:tc>
        <w:tc>
          <w:tcPr>
            <w:tcW w:w="2399" w:type="dxa"/>
            <w:hideMark/>
          </w:tcPr>
          <w:p w:rsidR="00EE30A9" w:rsidRPr="00FE2FB1" w:rsidRDefault="00EE30A9" w:rsidP="00EE30A9">
            <w:pPr>
              <w:pStyle w:val="NormalnyWeb"/>
              <w:rPr>
                <w:rFonts w:asciiTheme="majorHAnsi" w:hAnsiTheme="majorHAnsi" w:cstheme="majorHAnsi"/>
                <w:sz w:val="16"/>
                <w:szCs w:val="22"/>
              </w:rPr>
            </w:pPr>
            <w:r w:rsidRPr="00FE2FB1">
              <w:rPr>
                <w:rFonts w:asciiTheme="majorHAnsi" w:hAnsiTheme="majorHAnsi" w:cstheme="majorHAnsi"/>
                <w:sz w:val="16"/>
                <w:szCs w:val="22"/>
              </w:rPr>
              <w:t>Zestaw VariantPlex-HGC 2.0 Solid Tumor Focus v2 for Illumina do oceny wariantów SNV oraz MSI w raku jelita grubego, raku piersi, NSCLC oraz innych guzach litych z zastosowaniem sekwenatora nowej generacji MiniSeq (Illumina) wraz z analizą danych lub równoważny. Równoważność oznacza, że zaproponowane odczynniki zużywalne są kompatybilne z aparatem MiniSeq Illumina i spełniają wszystkie opisane wymagania.</w:t>
            </w:r>
          </w:p>
          <w:p w:rsidR="00CD4394" w:rsidRPr="00EE30A9" w:rsidRDefault="00CD4394" w:rsidP="00CD4394">
            <w:pPr>
              <w:rPr>
                <w:rFonts w:asciiTheme="majorHAnsi" w:hAnsiTheme="majorHAnsi" w:cstheme="majorHAnsi"/>
                <w:sz w:val="16"/>
                <w:szCs w:val="16"/>
              </w:rPr>
            </w:pPr>
          </w:p>
        </w:tc>
        <w:tc>
          <w:tcPr>
            <w:tcW w:w="2860" w:type="dxa"/>
            <w:hideMark/>
          </w:tcPr>
          <w:p w:rsidR="00EE30A9" w:rsidRPr="00FE2FB1" w:rsidRDefault="00EE30A9" w:rsidP="00EE30A9">
            <w:pPr>
              <w:pStyle w:val="NormalnyWeb"/>
              <w:spacing w:after="0"/>
              <w:rPr>
                <w:rFonts w:asciiTheme="majorHAnsi" w:hAnsiTheme="majorHAnsi" w:cstheme="majorHAnsi"/>
                <w:sz w:val="16"/>
                <w:szCs w:val="22"/>
              </w:rPr>
            </w:pPr>
            <w:r w:rsidRPr="00FE2FB1">
              <w:rPr>
                <w:rFonts w:asciiTheme="majorHAnsi" w:hAnsiTheme="majorHAnsi" w:cstheme="majorHAnsi"/>
                <w:sz w:val="16"/>
                <w:szCs w:val="22"/>
              </w:rPr>
              <w:t>Zestaw powinien umożliwić wykrycie wariantów pojedynczych nukleotydów, zmiany liczby kopii, insercji, delecji oraz niestabilności mikrosatelitarnej dla 20 genów istotnych dla raka jelita grubego, raka piersi, czerniaka, NSCLC oraz innych guzów litych (AKT1, BRAF,EGFR, ERBB2,FOXL2, GNA11, GNAP, GNAS, HRAS, IDH1/2, KIT, KRAS,M MET, NRAS,PDGFRA, PIK3CA, RET,TERT, TP53). Zestaw powinien umożliwić wykonanie badania dla małych ilości materiału wyjściowego (ok. 10 ng DNA) dla materiału świeżego. Zestaw powinien umożliwić ocenę zmian w materiale archiwalnym np. bloczki parafinowe.</w:t>
            </w:r>
          </w:p>
          <w:p w:rsidR="00EE30A9" w:rsidRPr="00FE2FB1" w:rsidRDefault="00EE30A9" w:rsidP="00EE30A9">
            <w:pPr>
              <w:pStyle w:val="NormalnyWeb"/>
              <w:spacing w:after="0"/>
              <w:rPr>
                <w:rFonts w:asciiTheme="majorHAnsi" w:hAnsiTheme="majorHAnsi" w:cstheme="majorHAnsi"/>
                <w:sz w:val="16"/>
                <w:szCs w:val="22"/>
              </w:rPr>
            </w:pPr>
            <w:r w:rsidRPr="00FE2FB1">
              <w:rPr>
                <w:rFonts w:asciiTheme="majorHAnsi" w:hAnsiTheme="majorHAnsi" w:cstheme="majorHAnsi"/>
                <w:sz w:val="16"/>
                <w:szCs w:val="22"/>
              </w:rPr>
              <w:t xml:space="preserve">Proponowany produkt musi być kompatybilny z sekwenatorem MiniSeq Illumina co oznacza, że uzyskana biblioteka może być sekwencjonowana na tym sekwenatorze i nie wymaga zastosowania dodatkowych odczynników lub dodatkowego wyposażenia aparatu aby przystosować bibliotekę do sekwencjonowania z wykorzystaniem ww. aparatu.  </w:t>
            </w:r>
          </w:p>
          <w:p w:rsidR="00CD4394" w:rsidRPr="00CD4394" w:rsidRDefault="00EE30A9" w:rsidP="00EE30A9">
            <w:pPr>
              <w:rPr>
                <w:rFonts w:asciiTheme="majorHAnsi" w:hAnsiTheme="majorHAnsi" w:cstheme="majorHAnsi"/>
                <w:sz w:val="16"/>
                <w:szCs w:val="16"/>
              </w:rPr>
            </w:pPr>
            <w:r w:rsidRPr="00FE2FB1">
              <w:rPr>
                <w:rFonts w:asciiTheme="majorHAnsi" w:hAnsiTheme="majorHAnsi" w:cstheme="majorHAnsi"/>
                <w:sz w:val="16"/>
              </w:rPr>
              <w:t>Proponowany produkt musi zawierać odpowiednią ilość adapterów do przeprowadzenia reakcji. Proponowany produkt powinien umożliwić analizę uzyskanych danych.</w:t>
            </w:r>
          </w:p>
        </w:tc>
        <w:tc>
          <w:tcPr>
            <w:tcW w:w="1349" w:type="dxa"/>
            <w:hideMark/>
          </w:tcPr>
          <w:p w:rsidR="00CD4394" w:rsidRPr="00EE30A9" w:rsidRDefault="00EE30A9" w:rsidP="00CD4394">
            <w:pPr>
              <w:rPr>
                <w:rFonts w:asciiTheme="majorHAnsi" w:hAnsiTheme="majorHAnsi" w:cstheme="majorHAnsi"/>
                <w:sz w:val="16"/>
                <w:szCs w:val="16"/>
              </w:rPr>
            </w:pPr>
            <w:r w:rsidRPr="00EE30A9">
              <w:rPr>
                <w:rFonts w:asciiTheme="majorHAnsi" w:hAnsiTheme="majorHAnsi" w:cstheme="majorHAnsi"/>
                <w:sz w:val="16"/>
              </w:rPr>
              <w:t>1 op.- 8 reakcji</w:t>
            </w:r>
          </w:p>
        </w:tc>
        <w:tc>
          <w:tcPr>
            <w:tcW w:w="1233" w:type="dxa"/>
            <w:hideMark/>
          </w:tcPr>
          <w:p w:rsidR="00CD4394" w:rsidRPr="00CD4394" w:rsidRDefault="00EE30A9" w:rsidP="00CD4394">
            <w:pPr>
              <w:rPr>
                <w:rFonts w:asciiTheme="majorHAnsi" w:hAnsiTheme="majorHAnsi" w:cstheme="majorHAnsi"/>
                <w:sz w:val="16"/>
                <w:szCs w:val="16"/>
              </w:rPr>
            </w:pPr>
            <w:r>
              <w:rPr>
                <w:rFonts w:asciiTheme="majorHAnsi" w:hAnsiTheme="majorHAnsi" w:cstheme="majorHAnsi"/>
                <w:sz w:val="16"/>
                <w:szCs w:val="16"/>
              </w:rPr>
              <w:t>2 opakowania</w:t>
            </w:r>
          </w:p>
        </w:tc>
        <w:tc>
          <w:tcPr>
            <w:tcW w:w="1186" w:type="dxa"/>
          </w:tcPr>
          <w:p w:rsidR="00CD4394" w:rsidRPr="00CD4394" w:rsidRDefault="00CD4394" w:rsidP="00CD4394">
            <w:pPr>
              <w:rPr>
                <w:rFonts w:asciiTheme="majorHAnsi" w:hAnsiTheme="majorHAnsi" w:cstheme="majorHAnsi"/>
                <w:sz w:val="16"/>
                <w:szCs w:val="16"/>
              </w:rPr>
            </w:pPr>
          </w:p>
        </w:tc>
        <w:tc>
          <w:tcPr>
            <w:tcW w:w="1186" w:type="dxa"/>
          </w:tcPr>
          <w:p w:rsidR="00CD4394" w:rsidRPr="00CD4394" w:rsidRDefault="00CD4394" w:rsidP="00CD4394">
            <w:pPr>
              <w:rPr>
                <w:rFonts w:asciiTheme="majorHAnsi" w:hAnsiTheme="majorHAnsi" w:cstheme="majorHAnsi"/>
                <w:sz w:val="16"/>
                <w:szCs w:val="16"/>
              </w:rPr>
            </w:pPr>
          </w:p>
        </w:tc>
        <w:tc>
          <w:tcPr>
            <w:tcW w:w="1211" w:type="dxa"/>
          </w:tcPr>
          <w:p w:rsidR="00CD4394" w:rsidRPr="00CD4394" w:rsidRDefault="00CD4394" w:rsidP="00CD4394">
            <w:pPr>
              <w:rPr>
                <w:rFonts w:asciiTheme="majorHAnsi" w:hAnsiTheme="majorHAnsi" w:cstheme="majorHAnsi"/>
                <w:sz w:val="16"/>
                <w:szCs w:val="16"/>
              </w:rPr>
            </w:pPr>
          </w:p>
        </w:tc>
        <w:tc>
          <w:tcPr>
            <w:tcW w:w="1134" w:type="dxa"/>
          </w:tcPr>
          <w:p w:rsidR="00CD4394" w:rsidRPr="00CD4394" w:rsidRDefault="00CD4394" w:rsidP="00CD4394">
            <w:pPr>
              <w:rPr>
                <w:rFonts w:asciiTheme="majorHAnsi" w:hAnsiTheme="majorHAnsi" w:cstheme="majorHAnsi"/>
                <w:sz w:val="16"/>
                <w:szCs w:val="16"/>
              </w:rPr>
            </w:pPr>
          </w:p>
        </w:tc>
        <w:tc>
          <w:tcPr>
            <w:tcW w:w="1418" w:type="dxa"/>
          </w:tcPr>
          <w:p w:rsidR="00CD4394" w:rsidRPr="00CD4394" w:rsidRDefault="00CD4394" w:rsidP="00CD4394">
            <w:pPr>
              <w:rPr>
                <w:rFonts w:asciiTheme="majorHAnsi" w:hAnsiTheme="majorHAnsi" w:cstheme="majorHAnsi"/>
                <w:sz w:val="16"/>
                <w:szCs w:val="16"/>
              </w:rPr>
            </w:pPr>
          </w:p>
        </w:tc>
      </w:tr>
    </w:tbl>
    <w:p w:rsidR="00881A33" w:rsidRDefault="00881A33" w:rsidP="00881A33">
      <w:pPr>
        <w:rPr>
          <w:rFonts w:cstheme="minorHAnsi"/>
        </w:rPr>
      </w:pPr>
    </w:p>
    <w:p w:rsidR="00CD4394" w:rsidRPr="003E70EF" w:rsidRDefault="00CD4394" w:rsidP="00CD4394">
      <w:pPr>
        <w:numPr>
          <w:ilvl w:val="0"/>
          <w:numId w:val="1"/>
        </w:numPr>
        <w:spacing w:after="0" w:line="240" w:lineRule="auto"/>
        <w:ind w:left="357" w:hanging="357"/>
        <w:rPr>
          <w:rFonts w:ascii="Calibri Light" w:hAnsi="Calibri Light" w:cs="Calibri Light"/>
          <w:color w:val="000000"/>
          <w:sz w:val="16"/>
          <w:szCs w:val="16"/>
        </w:rPr>
      </w:pPr>
      <w:r w:rsidRPr="003E70EF">
        <w:rPr>
          <w:rFonts w:ascii="Calibri Light" w:hAnsi="Calibri Light" w:cs="Calibri Light"/>
          <w:color w:val="000000"/>
          <w:sz w:val="16"/>
          <w:szCs w:val="16"/>
        </w:rPr>
        <w:t>Składam ofertę na wykonanie przedmiotu zamówienia w zakresie określonym powyżej na kwotę:</w:t>
      </w:r>
    </w:p>
    <w:p w:rsidR="00CD4394" w:rsidRPr="003E70EF" w:rsidRDefault="00CD4394" w:rsidP="00CD4394">
      <w:pPr>
        <w:tabs>
          <w:tab w:val="left" w:pos="426"/>
        </w:tabs>
        <w:rPr>
          <w:rFonts w:ascii="Calibri Light" w:eastAsia="Calibri" w:hAnsi="Calibri Light" w:cs="Calibri Light"/>
          <w:b/>
          <w:color w:val="000000"/>
          <w:sz w:val="16"/>
          <w:szCs w:val="16"/>
        </w:rPr>
      </w:pPr>
      <w:r w:rsidRPr="003E70EF">
        <w:rPr>
          <w:rFonts w:ascii="Calibri Light" w:eastAsia="Calibri" w:hAnsi="Calibri Light" w:cs="Calibri Light"/>
          <w:b/>
          <w:color w:val="000000"/>
          <w:sz w:val="16"/>
          <w:szCs w:val="16"/>
        </w:rPr>
        <w:t xml:space="preserve">                 BRUTTO: ……………………………… PLN słownie: …………………………………………………………………………..…………………..….………… PLN</w:t>
      </w:r>
    </w:p>
    <w:p w:rsidR="00CD4394" w:rsidRPr="003E70EF" w:rsidRDefault="00CD4394" w:rsidP="00CD4394">
      <w:pPr>
        <w:tabs>
          <w:tab w:val="left" w:pos="426"/>
        </w:tabs>
        <w:rPr>
          <w:rFonts w:ascii="Calibri Light" w:eastAsia="Calibri" w:hAnsi="Calibri Light" w:cs="Calibri Light"/>
          <w:b/>
          <w:color w:val="000000"/>
          <w:sz w:val="16"/>
          <w:szCs w:val="16"/>
        </w:rPr>
      </w:pPr>
      <w:r w:rsidRPr="003E70EF">
        <w:rPr>
          <w:rFonts w:ascii="Calibri Light" w:eastAsia="Calibri" w:hAnsi="Calibri Light" w:cs="Calibri Light"/>
          <w:b/>
          <w:color w:val="000000"/>
          <w:sz w:val="16"/>
          <w:szCs w:val="16"/>
        </w:rPr>
        <w:t xml:space="preserve">                 NETTO:</w:t>
      </w:r>
      <w:r w:rsidRPr="003E70EF">
        <w:rPr>
          <w:rFonts w:ascii="Calibri Light" w:eastAsia="Calibri" w:hAnsi="Calibri Light" w:cs="Calibri Light"/>
          <w:color w:val="000000"/>
          <w:sz w:val="16"/>
          <w:szCs w:val="16"/>
        </w:rPr>
        <w:t xml:space="preserve">    </w:t>
      </w:r>
      <w:r w:rsidRPr="003E70EF">
        <w:rPr>
          <w:rFonts w:ascii="Calibri Light" w:eastAsia="Calibri" w:hAnsi="Calibri Light" w:cs="Calibri Light"/>
          <w:b/>
          <w:color w:val="000000"/>
          <w:sz w:val="16"/>
          <w:szCs w:val="16"/>
        </w:rPr>
        <w:t>……………………………… PLN słownie: …………………………………………………………………………..…………………..….………… PLN</w:t>
      </w:r>
    </w:p>
    <w:p w:rsidR="00CD4394" w:rsidRPr="003E70EF" w:rsidRDefault="00CD4394" w:rsidP="00CD4394">
      <w:pPr>
        <w:numPr>
          <w:ilvl w:val="0"/>
          <w:numId w:val="1"/>
        </w:numPr>
        <w:spacing w:after="0" w:line="240" w:lineRule="auto"/>
        <w:ind w:left="357" w:hanging="357"/>
        <w:rPr>
          <w:rFonts w:ascii="Calibri Light" w:hAnsi="Calibri Light" w:cs="Calibri Light"/>
          <w:color w:val="000000"/>
          <w:sz w:val="16"/>
          <w:szCs w:val="16"/>
        </w:rPr>
      </w:pPr>
      <w:r w:rsidRPr="003E70EF">
        <w:rPr>
          <w:rFonts w:ascii="Calibri Light" w:hAnsi="Calibri Light" w:cs="Calibri Light"/>
          <w:color w:val="000000"/>
          <w:sz w:val="16"/>
          <w:szCs w:val="16"/>
        </w:rPr>
        <w:t xml:space="preserve">Oświadczam, że uważam się za związanego niniejszą ofertą na okres …………….. ( min. 30 dni ) licząc od daty wyznaczonej jako termin składania ofert.  </w:t>
      </w:r>
    </w:p>
    <w:p w:rsidR="00CD4394" w:rsidRPr="003E70EF" w:rsidRDefault="00CD4394" w:rsidP="00CD4394">
      <w:pPr>
        <w:numPr>
          <w:ilvl w:val="0"/>
          <w:numId w:val="1"/>
        </w:numPr>
        <w:spacing w:after="0" w:line="240" w:lineRule="auto"/>
        <w:ind w:left="357" w:hanging="357"/>
        <w:contextualSpacing/>
        <w:rPr>
          <w:rFonts w:ascii="Calibri Light" w:eastAsia="Calibri" w:hAnsi="Calibri Light" w:cs="Calibri Light"/>
          <w:bCs/>
          <w:iCs/>
          <w:color w:val="000000"/>
          <w:kern w:val="2"/>
          <w:sz w:val="16"/>
          <w:szCs w:val="16"/>
          <w:lang w:eastAsia="ar-SA"/>
        </w:rPr>
      </w:pPr>
      <w:r w:rsidRPr="003E70EF">
        <w:rPr>
          <w:rFonts w:ascii="Calibri Light" w:eastAsia="Calibri" w:hAnsi="Calibri Light" w:cs="Calibri Light"/>
          <w:color w:val="000000"/>
          <w:sz w:val="16"/>
          <w:szCs w:val="16"/>
        </w:rPr>
        <w:t>Termin płatności: 30 dni licząc od daty dostarczenia Zamawiającemu prawidłowo wystawionej faktury.</w:t>
      </w:r>
    </w:p>
    <w:p w:rsidR="00CD4394" w:rsidRPr="003E70EF" w:rsidRDefault="00CD4394" w:rsidP="00CD4394">
      <w:pPr>
        <w:numPr>
          <w:ilvl w:val="0"/>
          <w:numId w:val="1"/>
        </w:numPr>
        <w:spacing w:after="0" w:line="240" w:lineRule="auto"/>
        <w:ind w:left="357" w:hanging="357"/>
        <w:contextualSpacing/>
        <w:rPr>
          <w:rFonts w:ascii="Calibri Light" w:eastAsia="Calibri" w:hAnsi="Calibri Light" w:cs="Calibri Light"/>
          <w:bCs/>
          <w:iCs/>
          <w:color w:val="000000"/>
          <w:kern w:val="2"/>
          <w:sz w:val="16"/>
          <w:szCs w:val="16"/>
          <w:lang w:eastAsia="ar-SA"/>
        </w:rPr>
      </w:pPr>
      <w:r w:rsidRPr="003E70EF">
        <w:rPr>
          <w:rFonts w:ascii="Calibri Light" w:eastAsia="Calibri" w:hAnsi="Calibri Light" w:cs="Calibri Light"/>
          <w:color w:val="000000"/>
          <w:sz w:val="16"/>
          <w:szCs w:val="16"/>
        </w:rPr>
        <w:t xml:space="preserve">Termin realizacji /dostawy: zobowiązuję się do </w:t>
      </w:r>
      <w:r w:rsidR="004A5AF2">
        <w:rPr>
          <w:rFonts w:ascii="Calibri Light" w:eastAsia="Calibri" w:hAnsi="Calibri Light" w:cs="Calibri Light"/>
          <w:color w:val="000000"/>
          <w:sz w:val="16"/>
          <w:szCs w:val="16"/>
        </w:rPr>
        <w:t>realizacji zamówienia</w:t>
      </w:r>
      <w:r w:rsidRPr="003E70EF">
        <w:rPr>
          <w:rFonts w:ascii="Calibri Light" w:eastAsia="Calibri" w:hAnsi="Calibri Light" w:cs="Calibri Light"/>
          <w:color w:val="000000"/>
          <w:sz w:val="16"/>
          <w:szCs w:val="16"/>
        </w:rPr>
        <w:t xml:space="preserve"> w terminie maksymalnie </w:t>
      </w:r>
      <w:r w:rsidRPr="003E70EF">
        <w:rPr>
          <w:rFonts w:ascii="Calibri Light" w:eastAsia="Calibri" w:hAnsi="Calibri Light" w:cs="Calibri Light"/>
          <w:b/>
          <w:color w:val="000000"/>
          <w:sz w:val="16"/>
          <w:szCs w:val="16"/>
        </w:rPr>
        <w:t xml:space="preserve">do………..dni roboczych, </w:t>
      </w:r>
      <w:r w:rsidRPr="003E70EF">
        <w:rPr>
          <w:rFonts w:ascii="Calibri Light" w:eastAsia="Calibri" w:hAnsi="Calibri Light" w:cs="Calibri Light"/>
          <w:color w:val="000000"/>
          <w:sz w:val="16"/>
          <w:szCs w:val="16"/>
        </w:rPr>
        <w:t>licząc bieg terminu od dnia otrz</w:t>
      </w:r>
      <w:r w:rsidR="004A5AF2">
        <w:rPr>
          <w:rFonts w:ascii="Calibri Light" w:eastAsia="Calibri" w:hAnsi="Calibri Light" w:cs="Calibri Light"/>
          <w:color w:val="000000"/>
          <w:sz w:val="16"/>
          <w:szCs w:val="16"/>
        </w:rPr>
        <w:t>ymania zamówienia Zamawiającego</w:t>
      </w:r>
      <w:bookmarkStart w:id="0" w:name="_GoBack"/>
      <w:bookmarkEnd w:id="0"/>
      <w:r w:rsidRPr="003E70EF">
        <w:rPr>
          <w:rFonts w:ascii="Calibri Light" w:eastAsia="Calibri" w:hAnsi="Calibri Light" w:cs="Calibri Light"/>
          <w:color w:val="000000"/>
          <w:sz w:val="16"/>
          <w:szCs w:val="16"/>
        </w:rPr>
        <w:t xml:space="preserve">,  </w:t>
      </w:r>
    </w:p>
    <w:p w:rsidR="000B0F6E" w:rsidRPr="00EE30A9" w:rsidRDefault="00CD4394" w:rsidP="000B0F6E">
      <w:pPr>
        <w:numPr>
          <w:ilvl w:val="0"/>
          <w:numId w:val="1"/>
        </w:numPr>
        <w:spacing w:after="0" w:line="240" w:lineRule="auto"/>
        <w:ind w:left="357" w:hanging="357"/>
        <w:contextualSpacing/>
        <w:rPr>
          <w:rFonts w:ascii="Calibri Light" w:eastAsia="Calibri" w:hAnsi="Calibri Light" w:cs="Calibri Light"/>
          <w:bCs/>
          <w:iCs/>
          <w:color w:val="000000"/>
          <w:kern w:val="2"/>
          <w:sz w:val="16"/>
          <w:szCs w:val="16"/>
          <w:lang w:eastAsia="ar-SA"/>
        </w:rPr>
      </w:pPr>
      <w:r w:rsidRPr="003E70EF">
        <w:rPr>
          <w:rFonts w:ascii="Calibri Light" w:hAnsi="Calibri Light" w:cs="Calibri Light"/>
          <w:color w:val="000000"/>
          <w:sz w:val="16"/>
          <w:szCs w:val="16"/>
        </w:rPr>
        <w:t>Oświadczam, że termin gwarancji/ przydatności na dostarczony asortyment wynosi …………. miesięcy liczony od dnia odbioru asortymentu przez Zamawiającego.</w:t>
      </w:r>
    </w:p>
    <w:sectPr w:rsidR="000B0F6E" w:rsidRPr="00EE30A9" w:rsidSect="0070190D">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C66" w:rsidRDefault="00EA5C66" w:rsidP="00CD4394">
      <w:pPr>
        <w:spacing w:after="0" w:line="240" w:lineRule="auto"/>
      </w:pPr>
      <w:r>
        <w:separator/>
      </w:r>
    </w:p>
  </w:endnote>
  <w:endnote w:type="continuationSeparator" w:id="0">
    <w:p w:rsidR="00EA5C66" w:rsidRDefault="00EA5C66" w:rsidP="00CD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0A9" w:rsidRPr="00EE30A9" w:rsidRDefault="00EE30A9" w:rsidP="00EE30A9">
    <w:pPr>
      <w:pStyle w:val="Stopka"/>
      <w:jc w:val="right"/>
      <w:rPr>
        <w:rFonts w:asciiTheme="majorHAnsi" w:hAnsiTheme="majorHAnsi" w:cstheme="majorHAnsi"/>
        <w:sz w:val="16"/>
      </w:rPr>
    </w:pPr>
    <w:r w:rsidRPr="00EE30A9">
      <w:rPr>
        <w:rFonts w:asciiTheme="majorHAnsi" w:hAnsiTheme="majorHAnsi" w:cstheme="majorHAnsi"/>
        <w:sz w:val="16"/>
      </w:rPr>
      <w:t>data i czytelny podpis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C66" w:rsidRDefault="00EA5C66" w:rsidP="00CD4394">
      <w:pPr>
        <w:spacing w:after="0" w:line="240" w:lineRule="auto"/>
      </w:pPr>
      <w:r>
        <w:separator/>
      </w:r>
    </w:p>
  </w:footnote>
  <w:footnote w:type="continuationSeparator" w:id="0">
    <w:p w:rsidR="00EA5C66" w:rsidRDefault="00EA5C66" w:rsidP="00CD4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94" w:rsidRPr="00CD4394" w:rsidRDefault="00CD4394" w:rsidP="00CD4394">
    <w:pPr>
      <w:pStyle w:val="Nagwek"/>
      <w:jc w:val="right"/>
      <w:rPr>
        <w:sz w:val="16"/>
      </w:rPr>
    </w:pPr>
    <w:r w:rsidRPr="00CD4394">
      <w:rPr>
        <w:sz w:val="16"/>
      </w:rPr>
      <w:t xml:space="preserve">Załącznik nr </w:t>
    </w:r>
    <w:r w:rsidR="00F24968">
      <w:rPr>
        <w:sz w:val="16"/>
      </w:rPr>
      <w:t>1</w:t>
    </w:r>
    <w:r w:rsidRPr="00CD4394">
      <w:rPr>
        <w:sz w:val="16"/>
      </w:rPr>
      <w:t xml:space="preserve"> do zapytania</w:t>
    </w:r>
    <w:r w:rsidR="00EE30A9">
      <w:rPr>
        <w:sz w:val="16"/>
      </w:rPr>
      <w:t xml:space="preserve"> DO/DZ-072-73</w:t>
    </w:r>
    <w:r w:rsidR="00F24968">
      <w:rPr>
        <w:sz w:val="16"/>
      </w:rPr>
      <w:t>/2024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2874"/>
    <w:multiLevelType w:val="hybridMultilevel"/>
    <w:tmpl w:val="7CB6F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6E"/>
    <w:rsid w:val="0004331E"/>
    <w:rsid w:val="00093E77"/>
    <w:rsid w:val="00095E95"/>
    <w:rsid w:val="000B0F6E"/>
    <w:rsid w:val="000C6BEA"/>
    <w:rsid w:val="001748ED"/>
    <w:rsid w:val="002F5520"/>
    <w:rsid w:val="00371C31"/>
    <w:rsid w:val="003C39DC"/>
    <w:rsid w:val="00415AFE"/>
    <w:rsid w:val="004A5AF2"/>
    <w:rsid w:val="00501D45"/>
    <w:rsid w:val="005F7FED"/>
    <w:rsid w:val="00652DDF"/>
    <w:rsid w:val="00707DC8"/>
    <w:rsid w:val="0079194F"/>
    <w:rsid w:val="007B2883"/>
    <w:rsid w:val="00881A33"/>
    <w:rsid w:val="009F0B5C"/>
    <w:rsid w:val="00A85687"/>
    <w:rsid w:val="00AE4569"/>
    <w:rsid w:val="00B81267"/>
    <w:rsid w:val="00CD4394"/>
    <w:rsid w:val="00DF5EB1"/>
    <w:rsid w:val="00EA5C66"/>
    <w:rsid w:val="00EE30A9"/>
    <w:rsid w:val="00F24968"/>
    <w:rsid w:val="00F75314"/>
    <w:rsid w:val="00FE0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E92CF-CF05-4FDB-B362-7E18EF03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0F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B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B0F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D43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4394"/>
  </w:style>
  <w:style w:type="paragraph" w:styleId="Stopka">
    <w:name w:val="footer"/>
    <w:basedOn w:val="Normalny"/>
    <w:link w:val="StopkaZnak"/>
    <w:uiPriority w:val="99"/>
    <w:unhideWhenUsed/>
    <w:rsid w:val="00CD43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4394"/>
  </w:style>
  <w:style w:type="paragraph" w:styleId="Tekstdymka">
    <w:name w:val="Balloon Text"/>
    <w:basedOn w:val="Normalny"/>
    <w:link w:val="TekstdymkaZnak"/>
    <w:uiPriority w:val="99"/>
    <w:semiHidden/>
    <w:unhideWhenUsed/>
    <w:rsid w:val="00F249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4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3566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Kowalska</dc:creator>
  <cp:keywords/>
  <dc:description/>
  <cp:lastModifiedBy>Magdalena Filipek</cp:lastModifiedBy>
  <cp:revision>3</cp:revision>
  <cp:lastPrinted>2024-02-12T08:53:00Z</cp:lastPrinted>
  <dcterms:created xsi:type="dcterms:W3CDTF">2024-04-03T08:40:00Z</dcterms:created>
  <dcterms:modified xsi:type="dcterms:W3CDTF">2024-04-03T08:44:00Z</dcterms:modified>
</cp:coreProperties>
</file>