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1056C6" w:rsidRPr="008A4C7B" w:rsidTr="003A6C76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8A4C7B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LP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PARAMETRY GRANICZNE ANALIZATORA IMMUNOCHEMICZNEGO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OFEROWANE</w:t>
            </w:r>
          </w:p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color w:val="FFFFFF"/>
                <w:sz w:val="24"/>
                <w:szCs w:val="24"/>
              </w:rPr>
              <w:t>(wypełnia Wykonawca)</w:t>
            </w:r>
          </w:p>
          <w:p w:rsidR="001056C6" w:rsidRPr="008A4C7B" w:rsidRDefault="001056C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Analizator immunochemiczny,</w:t>
            </w:r>
            <w:r w:rsidR="003A6C76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fabrycznie nowy,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rok produkcji minimum </w:t>
            </w:r>
            <w:r w:rsidR="007D185E" w:rsidRPr="008A4C7B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Pr="008A4C7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wraz z drukarką.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  <w:p w:rsidR="001056C6" w:rsidRPr="008A4C7B" w:rsidRDefault="001056C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Pełna nazwa: __________________</w:t>
            </w:r>
          </w:p>
          <w:p w:rsidR="001056C6" w:rsidRPr="008A4C7B" w:rsidRDefault="00C404FD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Rok produkcji:__________________</w:t>
            </w:r>
          </w:p>
          <w:p w:rsidR="001056C6" w:rsidRPr="008A4C7B" w:rsidRDefault="00C404FD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Producent: ____________________</w:t>
            </w: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A05D2A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Analizator zgodny </w:t>
            </w:r>
            <w:r w:rsidR="00AC05C2" w:rsidRPr="008A4C7B">
              <w:rPr>
                <w:rFonts w:asciiTheme="minorHAnsi" w:hAnsiTheme="minorHAnsi" w:cstheme="minorHAnsi"/>
                <w:sz w:val="24"/>
                <w:szCs w:val="24"/>
              </w:rPr>
              <w:t>z Rozporządzeniem 2017/746 w sprawie wyrobów medycznych do diagnostyki in vitro (IVDR)  bądź z Dyrektywą Rady 98/79/CE (IVDD) wraz z późniejszymi przepisami przejściowymi, potwierdzone deklaracją zgodności i/lub certyfikatem CE (w zależności od klasy wyrobu medycznego do diagnostyki in vitro) oraz stosownymi oświadczeniami Wykonawcy (jeśli są wymagane).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Szeroki zakres wykonywanych oznaczeń a w tym wymagane: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ACTH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Androstendion</w:t>
            </w:r>
            <w:proofErr w:type="spellEnd"/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DHEA-S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Erytropoetyna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Gastryna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GH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IGF-1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Kortyzol</w:t>
            </w:r>
          </w:p>
          <w:p w:rsidR="001C6107" w:rsidRPr="008A4C7B" w:rsidRDefault="001C6107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PTH </w:t>
            </w:r>
            <w:proofErr w:type="spellStart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intact</w:t>
            </w:r>
            <w:proofErr w:type="spellEnd"/>
          </w:p>
          <w:p w:rsidR="001056C6" w:rsidRPr="008A4C7B" w:rsidRDefault="001056C6" w:rsidP="008A4C7B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TAK</w:t>
            </w:r>
          </w:p>
          <w:p w:rsidR="001056C6" w:rsidRPr="008A4C7B" w:rsidRDefault="001056C6" w:rsidP="008A4C7B">
            <w:pPr>
              <w:widowControl w:val="0"/>
              <w:spacing w:after="60" w:line="276" w:lineRule="auto"/>
              <w:ind w:left="121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:rsidR="001056C6" w:rsidRPr="008A4C7B" w:rsidRDefault="001056C6" w:rsidP="008A4C7B">
            <w:pPr>
              <w:widowControl w:val="0"/>
              <w:spacing w:after="60" w:line="276" w:lineRule="auto"/>
              <w:ind w:left="1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56C6" w:rsidRPr="008A4C7B" w:rsidRDefault="001056C6" w:rsidP="008A4C7B">
            <w:pPr>
              <w:widowControl w:val="0"/>
              <w:spacing w:after="60" w:line="276" w:lineRule="auto"/>
              <w:ind w:left="1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Chłodzona karu</w:t>
            </w:r>
            <w:r w:rsidR="001C6107" w:rsidRPr="008A4C7B">
              <w:rPr>
                <w:rFonts w:asciiTheme="minorHAnsi" w:hAnsiTheme="minorHAnsi" w:cstheme="minorHAnsi"/>
                <w:sz w:val="24"/>
                <w:szCs w:val="24"/>
              </w:rPr>
              <w:t>zela (</w:t>
            </w:r>
            <w:r w:rsidR="00EB6A40" w:rsidRPr="008A4C7B">
              <w:rPr>
                <w:rFonts w:asciiTheme="minorHAnsi" w:hAnsiTheme="minorHAnsi" w:cstheme="minorHAnsi"/>
                <w:sz w:val="24"/>
                <w:szCs w:val="24"/>
              </w:rPr>
              <w:t>minimalna temp. 2°C, maksymalna temp. 10°C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) odcz</w:t>
            </w:r>
            <w:r w:rsidR="004C2842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ynnikowa o pojemności minimum </w:t>
            </w:r>
            <w:r w:rsidR="001C6107" w:rsidRPr="008A4C7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miejsc.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Wbudowany </w:t>
            </w:r>
            <w:r w:rsidR="001C6107" w:rsidRPr="008A4C7B">
              <w:rPr>
                <w:rFonts w:asciiTheme="minorHAnsi" w:hAnsiTheme="minorHAnsi" w:cstheme="minorHAnsi"/>
                <w:sz w:val="24"/>
                <w:szCs w:val="24"/>
              </w:rPr>
              <w:t>pakiet kontroli jakości zwierający wykresy i opcje reguł kontroli jakości.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Analizator pracujący w technologii chemiluminescencji, o wydajności nie mniejszej niż 150 oznaczeń na godzinę.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710E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Pr="008A4C7B" w:rsidRDefault="006D05B8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Pr="008A4C7B" w:rsidRDefault="0002710E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Odczynniki gotowe do użycia. Zamawiający dopuszcza mieszanie i otwieranie odczynników przed włożeniem na pokład analizatora.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Pr="008A4C7B" w:rsidRDefault="00015677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10E" w:rsidRPr="008A4C7B" w:rsidRDefault="0002710E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6D05B8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Przebieg reakcji w jednorazowej kuwecie.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56C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6D05B8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Możliwość wykonywania badań w:</w:t>
            </w:r>
          </w:p>
          <w:p w:rsidR="001056C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- surowicy</w:t>
            </w:r>
            <w:r w:rsidR="00015677" w:rsidRPr="008A4C7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3A6C76" w:rsidRPr="008A4C7B" w:rsidRDefault="00C404FD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- osoczu</w:t>
            </w:r>
            <w:r w:rsidR="00015677" w:rsidRPr="008A4C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C404F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6C6" w:rsidRPr="008A4C7B" w:rsidRDefault="001056C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Zestawy odczynn</w:t>
            </w:r>
            <w:r w:rsidR="001C6107" w:rsidRPr="008A4C7B">
              <w:rPr>
                <w:rFonts w:asciiTheme="minorHAnsi" w:hAnsiTheme="minorHAnsi" w:cstheme="minorHAnsi"/>
                <w:sz w:val="24"/>
                <w:szCs w:val="24"/>
              </w:rPr>
              <w:t>ikowe posiadające oznaczenie CE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do diagnostyki in vitro.</w:t>
            </w:r>
            <w:r w:rsidR="00C21C44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Identyfikacja próbek badanych na podstawie kodu kreskowego.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Czujniki skrzepów dla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6A40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Pr="008A4C7B" w:rsidRDefault="00EB6A40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Pr="008A4C7B" w:rsidRDefault="00EB6A40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Możliwość wykonywania automatycznych rozcieńczeń próbek.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Pr="008A4C7B" w:rsidRDefault="00015677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40" w:rsidRPr="008A4C7B" w:rsidRDefault="00EB6A40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015677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Zastosowanie wieloparametrowych materiałów kontrolnych</w:t>
            </w:r>
            <w:r w:rsidR="00040645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pochodzących od niezależnego producenta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do wewnątrzlaborator</w:t>
            </w:r>
            <w:r w:rsidR="00040645" w:rsidRPr="008A4C7B">
              <w:rPr>
                <w:rFonts w:asciiTheme="minorHAnsi" w:hAnsiTheme="minorHAnsi" w:cstheme="minorHAnsi"/>
                <w:sz w:val="24"/>
                <w:szCs w:val="24"/>
              </w:rPr>
              <w:t>yjnej kontroli jakości w zakresie wszystkich oznaczeń immunochemic</w:t>
            </w:r>
            <w:r w:rsidR="00A06E1D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znych, które </w:t>
            </w:r>
            <w:r w:rsidR="00040645" w:rsidRPr="008A4C7B">
              <w:rPr>
                <w:rFonts w:asciiTheme="minorHAnsi" w:hAnsiTheme="minorHAnsi" w:cstheme="minorHAnsi"/>
                <w:sz w:val="24"/>
                <w:szCs w:val="24"/>
              </w:rPr>
              <w:t>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2DD" w:rsidRPr="008A4C7B" w:rsidRDefault="006F52D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TAK </w:t>
            </w:r>
          </w:p>
          <w:p w:rsidR="006F52DD" w:rsidRPr="008A4C7B" w:rsidRDefault="006F52D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PODAĆ DOSTĘPNE PARAMETRY OBJĘTE KONTROLĄ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Monitorowanie zużycia odczynników i materiałów zużywalnych w aparacie.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C0BD2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Dwukierunkowa komunikacja danych z posiadanym przez Zamawiającego laboratoryjnym systemem informatycznym (</w:t>
            </w:r>
            <w:proofErr w:type="spellStart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InfoMedica</w:t>
            </w:r>
            <w:proofErr w:type="spellEnd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, Asseco), a analizatorem immunochemicznym włączonym do lokalnej sieci laboratorium poprzez połączenie sieciowe – protokół internetowy (TCP/IP). Dwukierunkowa komunikacja powinna polegać na odpytywaniu systemu 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laboratoryjnego przez </w:t>
            </w:r>
            <w:r w:rsidR="00EA6FD5" w:rsidRPr="008A4C7B">
              <w:rPr>
                <w:rFonts w:asciiTheme="minorHAnsi" w:hAnsiTheme="minorHAnsi" w:cstheme="minorHAnsi"/>
                <w:sz w:val="24"/>
                <w:szCs w:val="24"/>
              </w:rPr>
              <w:t>analizator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o zlecenia przypisane do próbek oraz przekazywanie danych z wynikami do systemu laboratoryjnego posiadanego przez Zamawiającego po wykonaniu zlecenia.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FD5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Pr="008A4C7B" w:rsidRDefault="00EA6FD5" w:rsidP="008A4C7B">
            <w:pPr>
              <w:pStyle w:val="Tekstpodstawowy21"/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8A4C7B">
              <w:rPr>
                <w:rFonts w:asciiTheme="minorHAnsi" w:hAnsiTheme="minorHAnsi" w:cstheme="minorHAnsi"/>
                <w:sz w:val="24"/>
              </w:rPr>
              <w:t>Analizator zaopatrzony w zewnętrzne urządzenie zasilania awaryjnego UPS.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Pr="008A4C7B" w:rsidRDefault="00EA6FD5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FD5" w:rsidRPr="008A4C7B" w:rsidRDefault="00EA6FD5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Podłączenie  i pokrycia kosztów podłączenia analizatora  do posiadanego przez Zamawiającego </w:t>
            </w:r>
            <w:r w:rsidR="00CE3FF1" w:rsidRPr="008A4C7B">
              <w:rPr>
                <w:rFonts w:asciiTheme="minorHAnsi" w:hAnsiTheme="minorHAnsi" w:cstheme="minorHAnsi"/>
                <w:sz w:val="24"/>
                <w:szCs w:val="24"/>
              </w:rPr>
              <w:t>systemu informatycznego</w:t>
            </w:r>
            <w:r w:rsidR="003C0BD2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E3FF1" w:rsidRPr="008A4C7B">
              <w:rPr>
                <w:rFonts w:asciiTheme="minorHAnsi" w:hAnsiTheme="minorHAnsi" w:cstheme="minorHAnsi"/>
                <w:sz w:val="24"/>
                <w:szCs w:val="24"/>
              </w:rPr>
              <w:t>InfoMedica</w:t>
            </w:r>
            <w:proofErr w:type="spellEnd"/>
            <w:r w:rsidR="00CE3FF1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Laboratorium firmy Asseco Poland S.A.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2DD" w:rsidRPr="008A4C7B" w:rsidRDefault="006F52D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F1D7E" w:rsidRPr="008A4C7B" w:rsidRDefault="001F1D7E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  <w:p w:rsidR="006F52DD" w:rsidRPr="008A4C7B" w:rsidRDefault="006F52DD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F1D7E" w:rsidRPr="008A4C7B" w:rsidRDefault="001F1D7E" w:rsidP="008A4C7B">
            <w:pPr>
              <w:pStyle w:val="Tekstpodstawowy21"/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</w:rPr>
              <w:t>WYMAGANA JEST PEŁNA TRANSMISJA DANYCH</w:t>
            </w:r>
          </w:p>
          <w:p w:rsidR="003A6C76" w:rsidRPr="008A4C7B" w:rsidRDefault="001F1D7E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(analizator przesyła do posiadanego przez Zamawiającego systemu informatycznego dane pacjenta tj. imię, nazwisko, PESEL oraz SID zlecenia, nazwę badania, wynik badania wraz z 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jednostką,</w:t>
            </w:r>
            <w:r w:rsidR="003C0BD2"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datę wyniku oraz nazwę aparatu,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na którym zostało wykonane badanie)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6D05B8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Wykonywanie w czasie trwania umowy okresowych przeglądów technicznych analizatora (zgodnie z zaleceniami producenta urządzenia minimum 1 x w roku), obejmujących: dojazd, pracę inżyniera, wszystkie części zużywalne i zamienne.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02710E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Serwisowanie analizatora i sprzętu dodatkowego (w tym: jednostka sterująca, monitor, drukarka) przez cały okres dzierżawy  obejmujące: dojazd, pracę inżyniera serwisu, wszystkie  części zużywalne i  zamienne oraz niezbędne akcesoria (np. wężyki, przewody odczynnikowe, igły, zawory, elementy  mechaniczne i elektryczne analizatora) związane z bieżącą pracą oferowanego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Bezpłatne aktualizacje oprogramowania podczas trwania umowy.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Interwencja serwisu na zgłoszenie awarii (przyjazd do Zamawiającego w celu naprawy) do 24h w dni robocze od momentu zgłoszenia awarii autoryzowanemu serwisowi 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(telefonicznie, pocztą elektroniczną).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Bezpłatne przeszkolenie u</w:t>
            </w:r>
            <w:r w:rsidR="00EA6329" w:rsidRPr="008A4C7B">
              <w:rPr>
                <w:rFonts w:asciiTheme="minorHAnsi" w:hAnsiTheme="minorHAnsi" w:cstheme="minorHAnsi"/>
                <w:sz w:val="24"/>
                <w:szCs w:val="24"/>
              </w:rPr>
              <w:t>żytkowników (minimum 5</w:t>
            </w: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pracowników) z zakresu obsługi analizatora (minimum 2 szkolenia) w miejscu instalacji urządzenia.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W przypadku trzykrotnej awarii tego samego zespołu/podzespołu/modułu systemu w okresie obowiązywania umowy – wymiana systemu na nowy o parametrach nie niższych niż oferowany, na koszt Wykonawcy.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rPr>
          <w:trHeight w:val="4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C21C44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Pokrycie kosztów uczestnictwa w dostępnych </w:t>
            </w:r>
            <w:proofErr w:type="spellStart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zewnątrzlaboratoryjnych</w:t>
            </w:r>
            <w:proofErr w:type="spellEnd"/>
            <w:r w:rsidRPr="008A4C7B">
              <w:rPr>
                <w:rFonts w:asciiTheme="minorHAnsi" w:hAnsiTheme="minorHAnsi" w:cstheme="minorHAnsi"/>
                <w:sz w:val="24"/>
                <w:szCs w:val="24"/>
              </w:rPr>
              <w:t xml:space="preserve"> kontrolach jakości w zakresie wszystkich oznaczeń, które  oferuje Wykonawca.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6C76" w:rsidRPr="008A4C7B" w:rsidTr="003A6C7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EA6FD5" w:rsidP="008A4C7B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D05B8" w:rsidRPr="008A4C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sz w:val="24"/>
                <w:szCs w:val="24"/>
              </w:rPr>
              <w:t>Aktualne, zgodnie z obowiązującymi przepisami karty charakterystyki substancji niebezpiecznych dla odczynników dostarczone wraz z pierwszą dostawą, w przypadku aktualizacji oraz na każde żądanie Zamawiającego.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pacing w:after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C7B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C76" w:rsidRPr="008A4C7B" w:rsidRDefault="003A6C76" w:rsidP="008A4C7B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6C6" w:rsidRPr="008A4C7B" w:rsidRDefault="001056C6" w:rsidP="008A4C7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6277A" w:rsidRPr="008A4C7B" w:rsidRDefault="00C6277A" w:rsidP="008A4C7B">
      <w:pPr>
        <w:spacing w:line="276" w:lineRule="auto"/>
        <w:ind w:left="-652"/>
        <w:rPr>
          <w:rFonts w:asciiTheme="minorHAnsi" w:hAnsiTheme="minorHAnsi" w:cstheme="minorHAnsi"/>
          <w:b/>
          <w:sz w:val="24"/>
          <w:szCs w:val="24"/>
        </w:rPr>
      </w:pPr>
      <w:r w:rsidRPr="008A4C7B">
        <w:rPr>
          <w:rFonts w:asciiTheme="minorHAnsi" w:hAnsiTheme="minorHAnsi" w:cstheme="minorHAnsi"/>
          <w:b/>
          <w:sz w:val="24"/>
          <w:szCs w:val="24"/>
        </w:rPr>
        <w:t>Niespełnienie któregokolwiek z wymienionych parametrów granicznych spowoduje odrzucenie oferty.</w:t>
      </w:r>
    </w:p>
    <w:p w:rsidR="009A4815" w:rsidRPr="008A4C7B" w:rsidRDefault="009A4815" w:rsidP="008A4C7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9A4815" w:rsidRDefault="009A4815">
      <w:pPr>
        <w:rPr>
          <w:rFonts w:ascii="Calibri" w:hAnsi="Calibri" w:cs="Calibri"/>
          <w:b/>
          <w:sz w:val="20"/>
          <w:szCs w:val="20"/>
        </w:rPr>
      </w:pPr>
    </w:p>
    <w:sectPr w:rsidR="009A4815">
      <w:headerReference w:type="default" r:id="rId7"/>
      <w:footerReference w:type="default" r:id="rId8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F6" w:rsidRDefault="001F6FF6">
      <w:r>
        <w:separator/>
      </w:r>
    </w:p>
  </w:endnote>
  <w:endnote w:type="continuationSeparator" w:id="0">
    <w:p w:rsidR="001F6FF6" w:rsidRDefault="001F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6" w:rsidRDefault="001056C6">
    <w:pPr>
      <w:rPr>
        <w:rFonts w:ascii="Bookman Old Style" w:hAnsi="Bookman Old Style" w:cs="Bookman Old Style"/>
        <w:sz w:val="16"/>
        <w:szCs w:val="16"/>
      </w:rPr>
    </w:pPr>
  </w:p>
  <w:p w:rsidR="001056C6" w:rsidRDefault="00C404FD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8A31B6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8A31B6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F6" w:rsidRDefault="001F6FF6">
      <w:r>
        <w:separator/>
      </w:r>
    </w:p>
  </w:footnote>
  <w:footnote w:type="continuationSeparator" w:id="0">
    <w:p w:rsidR="001F6FF6" w:rsidRDefault="001F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7A" w:rsidRPr="006738B7" w:rsidRDefault="00C6277A" w:rsidP="00C6277A">
    <w:pPr>
      <w:spacing w:line="276" w:lineRule="auto"/>
      <w:ind w:hanging="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A6A6A6"/>
        <w:sz w:val="24"/>
      </w:rPr>
      <w:t>Załącznik nr</w:t>
    </w:r>
    <w:r>
      <w:rPr>
        <w:rFonts w:asciiTheme="minorHAnsi" w:hAnsiTheme="minorHAnsi" w:cstheme="minorHAnsi"/>
        <w:color w:val="A6A6A6"/>
        <w:sz w:val="24"/>
      </w:rPr>
      <w:t xml:space="preserve"> 2 do zapytania DZ/DZ-</w:t>
    </w:r>
    <w:r w:rsidR="00230BE0">
      <w:rPr>
        <w:rFonts w:asciiTheme="minorHAnsi" w:hAnsiTheme="minorHAnsi" w:cstheme="minorHAnsi"/>
        <w:color w:val="A6A6A6"/>
        <w:sz w:val="24"/>
      </w:rPr>
      <w:t>072-43/2026</w:t>
    </w:r>
  </w:p>
  <w:p w:rsidR="00C6277A" w:rsidRDefault="00C6277A" w:rsidP="00C6277A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C6277A" w:rsidRPr="006738B7" w:rsidRDefault="00C6277A" w:rsidP="00C6277A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C6277A" w:rsidRPr="006738B7" w:rsidRDefault="00C6277A" w:rsidP="00C6277A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1056C6" w:rsidRDefault="00C6277A" w:rsidP="00C6277A">
    <w:pPr>
      <w:pStyle w:val="Bezodstpw"/>
      <w:spacing w:line="276" w:lineRule="auto"/>
      <w:ind w:left="-851"/>
      <w:rPr>
        <w:rFonts w:ascii="Calibri" w:hAnsi="Calibri" w:cs="Calibri"/>
        <w:sz w:val="20"/>
        <w:szCs w:val="20"/>
      </w:rPr>
    </w:pPr>
    <w:r w:rsidRPr="006738B7">
      <w:rPr>
        <w:rFonts w:asciiTheme="minorHAnsi" w:hAnsiTheme="minorHAnsi" w:cstheme="minorHAnsi"/>
        <w:b/>
        <w:sz w:val="24"/>
      </w:rPr>
      <w:t>P A R A M E T R Y  W Y M A G A N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5A63"/>
    <w:multiLevelType w:val="hybridMultilevel"/>
    <w:tmpl w:val="2F70545C"/>
    <w:lvl w:ilvl="0" w:tplc="0390F77E">
      <w:start w:val="1"/>
      <w:numFmt w:val="bullet"/>
      <w:lvlText w:val=""/>
      <w:lvlJc w:val="left"/>
      <w:pPr>
        <w:ind w:left="84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55B078AF"/>
    <w:multiLevelType w:val="hybridMultilevel"/>
    <w:tmpl w:val="E51C138A"/>
    <w:lvl w:ilvl="0" w:tplc="F2B498E4">
      <w:start w:val="1"/>
      <w:numFmt w:val="bullet"/>
      <w:lvlText w:val=""/>
      <w:lvlJc w:val="left"/>
      <w:pPr>
        <w:ind w:left="481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6"/>
    <w:rsid w:val="00015677"/>
    <w:rsid w:val="0002710E"/>
    <w:rsid w:val="00040645"/>
    <w:rsid w:val="001056C6"/>
    <w:rsid w:val="001346E8"/>
    <w:rsid w:val="001C6107"/>
    <w:rsid w:val="001F1D7E"/>
    <w:rsid w:val="001F6FF6"/>
    <w:rsid w:val="00230BE0"/>
    <w:rsid w:val="003A6C76"/>
    <w:rsid w:val="003C0BD2"/>
    <w:rsid w:val="003C499C"/>
    <w:rsid w:val="00401A9B"/>
    <w:rsid w:val="004202F0"/>
    <w:rsid w:val="004210F4"/>
    <w:rsid w:val="004553F3"/>
    <w:rsid w:val="004C1750"/>
    <w:rsid w:val="004C2842"/>
    <w:rsid w:val="005B5402"/>
    <w:rsid w:val="006D05B8"/>
    <w:rsid w:val="006F52DD"/>
    <w:rsid w:val="007D185E"/>
    <w:rsid w:val="008A31B6"/>
    <w:rsid w:val="008A4C7B"/>
    <w:rsid w:val="008C4741"/>
    <w:rsid w:val="009A4815"/>
    <w:rsid w:val="009B7CE6"/>
    <w:rsid w:val="009C072B"/>
    <w:rsid w:val="00A05D2A"/>
    <w:rsid w:val="00A06E1D"/>
    <w:rsid w:val="00A71B6D"/>
    <w:rsid w:val="00AC05C2"/>
    <w:rsid w:val="00AF6A3D"/>
    <w:rsid w:val="00B45274"/>
    <w:rsid w:val="00C17EE3"/>
    <w:rsid w:val="00C21C44"/>
    <w:rsid w:val="00C404FD"/>
    <w:rsid w:val="00C6277A"/>
    <w:rsid w:val="00CE3FF1"/>
    <w:rsid w:val="00E036D9"/>
    <w:rsid w:val="00EA6329"/>
    <w:rsid w:val="00EA6FD5"/>
    <w:rsid w:val="00EB6A40"/>
    <w:rsid w:val="00EC57BA"/>
    <w:rsid w:val="00FC28CA"/>
    <w:rsid w:val="00F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01202F-5500-46E1-A073-7C0B827C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6E8"/>
  </w:style>
  <w:style w:type="paragraph" w:styleId="Stopka">
    <w:name w:val="footer"/>
    <w:basedOn w:val="Normalny"/>
    <w:link w:val="StopkaZnak"/>
    <w:uiPriority w:val="99"/>
    <w:unhideWhenUsed/>
    <w:rsid w:val="00134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6E8"/>
  </w:style>
  <w:style w:type="paragraph" w:customStyle="1" w:styleId="Tekstpodstawowy21">
    <w:name w:val="Tekst podstawowy 21"/>
    <w:basedOn w:val="Normalny"/>
    <w:uiPriority w:val="99"/>
    <w:qFormat/>
    <w:rsid w:val="001F1D7E"/>
    <w:pPr>
      <w:spacing w:after="120" w:line="480" w:lineRule="auto"/>
    </w:pPr>
    <w:rPr>
      <w:sz w:val="28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2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D2A"/>
    <w:pPr>
      <w:ind w:left="720"/>
      <w:contextualSpacing/>
    </w:pPr>
  </w:style>
  <w:style w:type="paragraph" w:styleId="Bezodstpw">
    <w:name w:val="No Spacing"/>
    <w:uiPriority w:val="99"/>
    <w:qFormat/>
    <w:rsid w:val="00C6277A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oferenta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oferenta</dc:title>
  <dc:subject/>
  <dc:creator>Dział Zamówień</dc:creator>
  <dc:description/>
  <cp:lastModifiedBy>Ewa Stelmach</cp:lastModifiedBy>
  <cp:revision>14</cp:revision>
  <cp:lastPrinted>2026-02-18T07:35:00Z</cp:lastPrinted>
  <dcterms:created xsi:type="dcterms:W3CDTF">2026-01-13T20:27:00Z</dcterms:created>
  <dcterms:modified xsi:type="dcterms:W3CDTF">2026-02-18T07:35:00Z</dcterms:modified>
  <dc:language>pl-PL</dc:language>
</cp:coreProperties>
</file>