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487" w:rsidRPr="00956FB6" w:rsidRDefault="00184487" w:rsidP="00184487">
      <w:pPr>
        <w:jc w:val="right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956FB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56FB6" w:rsidRPr="00956FB6">
        <w:rPr>
          <w:rFonts w:asciiTheme="minorHAnsi" w:hAnsiTheme="minorHAnsi" w:cstheme="minorHAnsi"/>
          <w:b/>
          <w:sz w:val="20"/>
          <w:szCs w:val="20"/>
        </w:rPr>
        <w:t>1</w:t>
      </w:r>
    </w:p>
    <w:p w:rsidR="00184487" w:rsidRPr="00956FB6" w:rsidRDefault="00184487" w:rsidP="00956FB6">
      <w:pPr>
        <w:ind w:left="-709"/>
        <w:rPr>
          <w:rFonts w:asciiTheme="minorHAnsi" w:hAnsiTheme="minorHAnsi" w:cstheme="minorHAnsi"/>
          <w:b/>
          <w:sz w:val="20"/>
          <w:szCs w:val="20"/>
        </w:rPr>
      </w:pPr>
      <w:r w:rsidRPr="00956FB6">
        <w:rPr>
          <w:rFonts w:asciiTheme="minorHAnsi" w:hAnsiTheme="minorHAnsi" w:cstheme="minorHAnsi"/>
          <w:b/>
          <w:sz w:val="20"/>
          <w:szCs w:val="20"/>
        </w:rPr>
        <w:t xml:space="preserve">Zadanie nr </w:t>
      </w:r>
      <w:r w:rsidR="00956FB6" w:rsidRPr="00956FB6">
        <w:rPr>
          <w:rFonts w:asciiTheme="minorHAnsi" w:hAnsiTheme="minorHAnsi" w:cstheme="minorHAnsi"/>
          <w:b/>
          <w:sz w:val="20"/>
          <w:szCs w:val="20"/>
        </w:rPr>
        <w:t>1</w:t>
      </w:r>
      <w:r w:rsidRPr="00956FB6">
        <w:rPr>
          <w:rFonts w:asciiTheme="minorHAnsi" w:hAnsiTheme="minorHAnsi" w:cstheme="minorHAnsi"/>
          <w:b/>
          <w:sz w:val="20"/>
          <w:szCs w:val="20"/>
        </w:rPr>
        <w:t xml:space="preserve"> – Przegląd i konserwacja </w:t>
      </w:r>
      <w:r w:rsidR="00956FB6" w:rsidRPr="00956FB6">
        <w:rPr>
          <w:rFonts w:asciiTheme="minorHAnsi" w:hAnsiTheme="minorHAnsi" w:cstheme="minorHAnsi"/>
          <w:b/>
          <w:sz w:val="20"/>
          <w:szCs w:val="20"/>
        </w:rPr>
        <w:t>systemu do PCR w czasie rzeczywistym</w:t>
      </w:r>
      <w:r w:rsidR="00956FB6" w:rsidRPr="00956FB6">
        <w:rPr>
          <w:rFonts w:asciiTheme="minorHAnsi" w:hAnsiTheme="minorHAnsi" w:cstheme="minorHAnsi"/>
          <w:b/>
          <w:sz w:val="20"/>
          <w:szCs w:val="20"/>
        </w:rPr>
        <w:tab/>
        <w:t xml:space="preserve"> ViiA 7</w:t>
      </w:r>
    </w:p>
    <w:tbl>
      <w:tblPr>
        <w:tblStyle w:val="Tabela-Siatka"/>
        <w:tblW w:w="10997" w:type="dxa"/>
        <w:tblInd w:w="-796" w:type="dxa"/>
        <w:tblLayout w:type="fixed"/>
        <w:tblLook w:val="04A0" w:firstRow="1" w:lastRow="0" w:firstColumn="1" w:lastColumn="0" w:noHBand="0" w:noVBand="1"/>
      </w:tblPr>
      <w:tblGrid>
        <w:gridCol w:w="561"/>
        <w:gridCol w:w="1644"/>
        <w:gridCol w:w="1705"/>
        <w:gridCol w:w="1417"/>
        <w:gridCol w:w="1134"/>
        <w:gridCol w:w="1418"/>
        <w:gridCol w:w="1456"/>
        <w:gridCol w:w="1662"/>
      </w:tblGrid>
      <w:tr w:rsidR="00184487" w:rsidRPr="00956FB6" w:rsidTr="00956FB6">
        <w:trPr>
          <w:trHeight w:val="461"/>
        </w:trPr>
        <w:tc>
          <w:tcPr>
            <w:tcW w:w="561" w:type="dxa"/>
            <w:shd w:val="clear" w:color="auto" w:fill="D9E2F3" w:themeFill="accent5" w:themeFillTint="33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644" w:type="dxa"/>
            <w:shd w:val="clear" w:color="auto" w:fill="D9E2F3" w:themeFill="accent5" w:themeFillTint="33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705" w:type="dxa"/>
            <w:shd w:val="clear" w:color="auto" w:fill="D9E2F3" w:themeFill="accent5" w:themeFillTint="33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Model</w:t>
            </w:r>
          </w:p>
        </w:tc>
        <w:tc>
          <w:tcPr>
            <w:tcW w:w="1417" w:type="dxa"/>
            <w:shd w:val="clear" w:color="auto" w:fill="D9E2F3" w:themeFill="accent5" w:themeFillTint="33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Nr seryjny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Rok produkcji </w:t>
            </w:r>
          </w:p>
        </w:tc>
        <w:tc>
          <w:tcPr>
            <w:tcW w:w="1418" w:type="dxa"/>
            <w:shd w:val="clear" w:color="auto" w:fill="D9E2F3" w:themeFill="accent5" w:themeFillTint="33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Producent</w:t>
            </w:r>
          </w:p>
        </w:tc>
        <w:tc>
          <w:tcPr>
            <w:tcW w:w="1456" w:type="dxa"/>
            <w:shd w:val="clear" w:color="auto" w:fill="D9E2F3" w:themeFill="accent5" w:themeFillTint="33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Komórka organizacyjna</w:t>
            </w:r>
          </w:p>
        </w:tc>
        <w:tc>
          <w:tcPr>
            <w:tcW w:w="1662" w:type="dxa"/>
            <w:shd w:val="clear" w:color="auto" w:fill="D9E2F3" w:themeFill="accent5" w:themeFillTint="33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Termin realizacji I przeglądu</w:t>
            </w:r>
          </w:p>
        </w:tc>
      </w:tr>
      <w:tr w:rsidR="00184487" w:rsidRPr="00956FB6" w:rsidTr="00956FB6">
        <w:trPr>
          <w:trHeight w:val="1032"/>
        </w:trPr>
        <w:tc>
          <w:tcPr>
            <w:tcW w:w="561" w:type="dxa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644" w:type="dxa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System do PCR w czasie rzeczywistym</w:t>
            </w:r>
          </w:p>
        </w:tc>
        <w:tc>
          <w:tcPr>
            <w:tcW w:w="1705" w:type="dxa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 xml:space="preserve">ViiA 7 </w:t>
            </w:r>
          </w:p>
        </w:tc>
        <w:tc>
          <w:tcPr>
            <w:tcW w:w="1417" w:type="dxa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278882452</w:t>
            </w:r>
          </w:p>
        </w:tc>
        <w:tc>
          <w:tcPr>
            <w:tcW w:w="1134" w:type="dxa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2014</w:t>
            </w:r>
          </w:p>
        </w:tc>
        <w:tc>
          <w:tcPr>
            <w:tcW w:w="1418" w:type="dxa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Applied Biosystems</w:t>
            </w:r>
          </w:p>
        </w:tc>
        <w:tc>
          <w:tcPr>
            <w:tcW w:w="1456" w:type="dxa"/>
            <w:vAlign w:val="center"/>
          </w:tcPr>
          <w:p w:rsidR="00184487" w:rsidRPr="00956FB6" w:rsidRDefault="00184487" w:rsidP="003457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DL/ZPN</w:t>
            </w:r>
          </w:p>
        </w:tc>
        <w:tc>
          <w:tcPr>
            <w:tcW w:w="1662" w:type="dxa"/>
            <w:vAlign w:val="center"/>
          </w:tcPr>
          <w:p w:rsidR="00184487" w:rsidRPr="00956FB6" w:rsidRDefault="00956FB6" w:rsidP="003457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F34289" w:rsidRPr="00956FB6">
              <w:rPr>
                <w:rFonts w:asciiTheme="minorHAnsi" w:hAnsiTheme="minorHAnsi" w:cstheme="minorHAnsi"/>
                <w:sz w:val="20"/>
                <w:szCs w:val="20"/>
              </w:rPr>
              <w:t>o 25.07.2025r</w:t>
            </w: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:rsidR="00184487" w:rsidRPr="00956FB6" w:rsidRDefault="00184487" w:rsidP="00184487">
      <w:pPr>
        <w:rPr>
          <w:rFonts w:asciiTheme="minorHAnsi" w:hAnsiTheme="minorHAnsi" w:cstheme="minorHAnsi"/>
          <w:sz w:val="20"/>
          <w:szCs w:val="20"/>
        </w:rPr>
      </w:pPr>
    </w:p>
    <w:p w:rsidR="00184487" w:rsidRPr="00956FB6" w:rsidRDefault="00184487" w:rsidP="00184487">
      <w:pPr>
        <w:rPr>
          <w:rFonts w:asciiTheme="minorHAnsi" w:hAnsiTheme="minorHAnsi" w:cstheme="minorHAnsi"/>
          <w:b/>
          <w:sz w:val="20"/>
          <w:szCs w:val="20"/>
        </w:rPr>
      </w:pPr>
      <w:r w:rsidRPr="00956FB6">
        <w:rPr>
          <w:rFonts w:asciiTheme="minorHAnsi" w:hAnsiTheme="minorHAnsi" w:cstheme="minorHAnsi"/>
          <w:b/>
          <w:sz w:val="20"/>
          <w:szCs w:val="20"/>
        </w:rPr>
        <w:t>Wymagania:</w:t>
      </w:r>
    </w:p>
    <w:p w:rsidR="00184487" w:rsidRPr="00956FB6" w:rsidRDefault="00184487" w:rsidP="00184487">
      <w:pPr>
        <w:rPr>
          <w:rFonts w:asciiTheme="minorHAnsi" w:hAnsiTheme="minorHAnsi" w:cstheme="minorHAnsi"/>
          <w:b/>
          <w:sz w:val="20"/>
          <w:szCs w:val="20"/>
        </w:rPr>
      </w:pPr>
      <w:r w:rsidRPr="00956FB6">
        <w:rPr>
          <w:rFonts w:asciiTheme="minorHAnsi" w:hAnsiTheme="minorHAnsi" w:cstheme="minorHAnsi"/>
          <w:b/>
          <w:sz w:val="20"/>
          <w:szCs w:val="20"/>
        </w:rPr>
        <w:t xml:space="preserve">Przegląd wykonany zgodnie z wymaganiami producenta zawierający co najmniej: </w:t>
      </w:r>
    </w:p>
    <w:p w:rsidR="00184487" w:rsidRPr="00956FB6" w:rsidRDefault="00184487" w:rsidP="0018448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Sprawdzenie bezpieczeństwa mechanicznego,</w:t>
      </w:r>
    </w:p>
    <w:p w:rsidR="00184487" w:rsidRPr="00956FB6" w:rsidRDefault="00184487" w:rsidP="0018448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Kontrolę występowania usterek,</w:t>
      </w:r>
    </w:p>
    <w:p w:rsidR="00184487" w:rsidRPr="00956FB6" w:rsidRDefault="00184487" w:rsidP="0018448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Czyszczenie, konserwacja i kalibracja urządzenia</w:t>
      </w:r>
    </w:p>
    <w:p w:rsidR="0080749C" w:rsidRPr="00956FB6" w:rsidRDefault="0080749C" w:rsidP="0018448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Czyszczenie układu chłodzenia i dróg odprowadzania ciepła</w:t>
      </w:r>
    </w:p>
    <w:p w:rsidR="00184487" w:rsidRPr="00956FB6" w:rsidRDefault="00184487" w:rsidP="0018448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Upgrade oprogramowania jeśli jest to konieczne</w:t>
      </w:r>
    </w:p>
    <w:p w:rsidR="00184487" w:rsidRPr="00956FB6" w:rsidRDefault="00184487" w:rsidP="0018448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Wymianę części niezbędnych do wykonania przeglądu (zgodnie z zaleceniami producenta)</w:t>
      </w:r>
    </w:p>
    <w:p w:rsidR="00184487" w:rsidRPr="00956FB6" w:rsidRDefault="00184487" w:rsidP="0018448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Sprawdzenie funkcjonowania urządzenia i jego gotowości do pracy,</w:t>
      </w:r>
    </w:p>
    <w:p w:rsidR="00184487" w:rsidRPr="00956FB6" w:rsidRDefault="00184487" w:rsidP="0018448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Dokumentację przeglądu potwierdzoną wpisem w paszporcie technicznym urządzenia, oraz w karcie pracy serwisu z  zaznaczeniem stanu urządzenia sprane/niesprawne</w:t>
      </w:r>
    </w:p>
    <w:p w:rsidR="00184487" w:rsidRPr="00956FB6" w:rsidRDefault="00184487" w:rsidP="00956FB6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5976FC" w:rsidRPr="00956FB6" w:rsidRDefault="005976FC" w:rsidP="00956FB6">
      <w:pPr>
        <w:ind w:left="-709" w:right="-14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956FB6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Kolejny przegląd: Zgodnie z zaleceniami producenta wskazany przez Wykonawcę w paszporcie oraz karcie pracy jednak nie wcześniej niż 30 dni od wskazanego terminu </w:t>
      </w:r>
      <w:r w:rsidR="00D936F8" w:rsidRPr="00956FB6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(ilość przeglądów dla </w:t>
      </w:r>
      <w:r w:rsidRPr="00956FB6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urządzenia w</w:t>
      </w:r>
      <w:r w:rsidR="00F34289" w:rsidRPr="00956FB6">
        <w:rPr>
          <w:rFonts w:asciiTheme="minorHAnsi" w:hAnsiTheme="minorHAnsi" w:cstheme="minorHAnsi"/>
          <w:b/>
          <w:color w:val="000000"/>
          <w:sz w:val="20"/>
          <w:szCs w:val="20"/>
        </w:rPr>
        <w:t> okresie obowiązywania umowy - 3</w:t>
      </w:r>
      <w:r w:rsidRPr="00956FB6">
        <w:rPr>
          <w:rFonts w:asciiTheme="minorHAnsi" w:hAnsiTheme="minorHAnsi" w:cstheme="minorHAnsi"/>
          <w:b/>
          <w:color w:val="000000"/>
          <w:sz w:val="20"/>
          <w:szCs w:val="20"/>
        </w:rPr>
        <w:t>)</w:t>
      </w:r>
    </w:p>
    <w:p w:rsidR="005976FC" w:rsidRPr="00956FB6" w:rsidRDefault="005976FC" w:rsidP="005976FC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956FB6" w:rsidRPr="00956FB6" w:rsidRDefault="00956FB6" w:rsidP="00956FB6">
      <w:pPr>
        <w:suppressAutoHyphens/>
        <w:spacing w:after="0" w:line="360" w:lineRule="auto"/>
        <w:jc w:val="center"/>
        <w:rPr>
          <w:rFonts w:asciiTheme="minorHAnsi" w:eastAsia="Times New Roman" w:hAnsiTheme="minorHAnsi" w:cstheme="minorHAnsi"/>
          <w:b/>
          <w:color w:val="323E4F"/>
          <w:sz w:val="20"/>
          <w:szCs w:val="20"/>
        </w:rPr>
      </w:pPr>
      <w:r w:rsidRPr="00956FB6">
        <w:rPr>
          <w:rFonts w:asciiTheme="minorHAnsi" w:eastAsia="Times New Roman" w:hAnsiTheme="minorHAnsi" w:cstheme="minorHAnsi"/>
          <w:b/>
          <w:color w:val="323E4F"/>
          <w:sz w:val="20"/>
          <w:szCs w:val="20"/>
        </w:rPr>
        <w:t xml:space="preserve">SPECYFIKACJA CENOWA </w:t>
      </w:r>
    </w:p>
    <w:tbl>
      <w:tblPr>
        <w:tblW w:w="5866" w:type="pct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746"/>
        <w:gridCol w:w="744"/>
        <w:gridCol w:w="598"/>
        <w:gridCol w:w="1493"/>
        <w:gridCol w:w="1478"/>
        <w:gridCol w:w="1112"/>
        <w:gridCol w:w="1946"/>
      </w:tblGrid>
      <w:tr w:rsidR="00956FB6" w:rsidRPr="00956FB6" w:rsidTr="00956FB6">
        <w:trPr>
          <w:trHeight w:val="739"/>
        </w:trPr>
        <w:tc>
          <w:tcPr>
            <w:tcW w:w="242" w:type="pct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292" w:type="pct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50" w:type="pct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j.m</w:t>
            </w:r>
          </w:p>
        </w:tc>
        <w:tc>
          <w:tcPr>
            <w:tcW w:w="281" w:type="pct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702" w:type="pct"/>
            <w:shd w:val="clear" w:color="auto" w:fill="D9E2F3" w:themeFill="accent5" w:themeFillTint="33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 xml:space="preserve">Cena jednostkowa netto </w:t>
            </w:r>
          </w:p>
        </w:tc>
        <w:tc>
          <w:tcPr>
            <w:tcW w:w="695" w:type="pct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523" w:type="pct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VAT %</w:t>
            </w:r>
          </w:p>
        </w:tc>
        <w:tc>
          <w:tcPr>
            <w:tcW w:w="916" w:type="pct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Wartość brutto</w:t>
            </w:r>
          </w:p>
        </w:tc>
      </w:tr>
      <w:tr w:rsidR="00956FB6" w:rsidRPr="00956FB6" w:rsidTr="00EA325E">
        <w:trPr>
          <w:trHeight w:val="176"/>
        </w:trPr>
        <w:tc>
          <w:tcPr>
            <w:tcW w:w="242" w:type="pct"/>
            <w:vAlign w:val="bottom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92" w:type="pct"/>
            <w:shd w:val="clear" w:color="auto" w:fill="auto"/>
            <w:vAlign w:val="bottom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1" w:type="pct"/>
            <w:shd w:val="clear" w:color="auto" w:fill="auto"/>
            <w:vAlign w:val="bottom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2" w:type="pct"/>
            <w:shd w:val="clear" w:color="auto" w:fill="auto"/>
            <w:vAlign w:val="bottom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 xml:space="preserve">6 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16" w:type="pct"/>
            <w:shd w:val="clear" w:color="auto" w:fill="auto"/>
            <w:vAlign w:val="bottom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8</w:t>
            </w:r>
          </w:p>
        </w:tc>
      </w:tr>
      <w:tr w:rsidR="00956FB6" w:rsidRPr="00956FB6" w:rsidTr="00EA325E">
        <w:tc>
          <w:tcPr>
            <w:tcW w:w="242" w:type="pct"/>
            <w:tcBorders>
              <w:bottom w:val="single" w:sz="4" w:space="0" w:color="000000"/>
            </w:tcBorders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92" w:type="pct"/>
            <w:tcBorders>
              <w:bottom w:val="single" w:sz="4" w:space="0" w:color="000000"/>
            </w:tcBorders>
            <w:shd w:val="clear" w:color="auto" w:fill="auto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S</w:t>
            </w:r>
            <w:r w:rsidRPr="00956FB6">
              <w:rPr>
                <w:rFonts w:asciiTheme="minorHAnsi" w:eastAsia="Calibri" w:hAnsiTheme="minorHAnsi" w:cstheme="minorHAnsi"/>
                <w:sz w:val="20"/>
                <w:szCs w:val="20"/>
              </w:rPr>
              <w:t>ystem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PCR w czasie rzeczywistym</w:t>
            </w:r>
            <w:r w:rsidRPr="00956FB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ViiA 7</w:t>
            </w:r>
          </w:p>
        </w:tc>
        <w:tc>
          <w:tcPr>
            <w:tcW w:w="35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usługa</w:t>
            </w:r>
          </w:p>
        </w:tc>
        <w:tc>
          <w:tcPr>
            <w:tcW w:w="28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56FB6" w:rsidRPr="00956FB6" w:rsidTr="00EA325E">
        <w:tc>
          <w:tcPr>
            <w:tcW w:w="242" w:type="pct"/>
            <w:tcBorders>
              <w:left w:val="nil"/>
              <w:bottom w:val="nil"/>
              <w:right w:val="nil"/>
            </w:tcBorders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5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81" w:type="pct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SUMA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:rsidR="00956FB6" w:rsidRPr="00956FB6" w:rsidRDefault="00956FB6" w:rsidP="00956FB6">
      <w:pPr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1"/>
        <w:tblW w:w="6662" w:type="dxa"/>
        <w:tblInd w:w="3114" w:type="dxa"/>
        <w:tblLook w:val="04A0" w:firstRow="1" w:lastRow="0" w:firstColumn="1" w:lastColumn="0" w:noHBand="0" w:noVBand="1"/>
      </w:tblPr>
      <w:tblGrid>
        <w:gridCol w:w="1984"/>
        <w:gridCol w:w="2552"/>
        <w:gridCol w:w="2126"/>
      </w:tblGrid>
      <w:tr w:rsidR="00956FB6" w:rsidRPr="00956FB6" w:rsidTr="00956FB6">
        <w:trPr>
          <w:trHeight w:val="41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56FB6" w:rsidRPr="00956FB6" w:rsidRDefault="00956FB6" w:rsidP="00956F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Gwarancja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56FB6" w:rsidRPr="00956FB6" w:rsidRDefault="00956FB6" w:rsidP="00956F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Ważność oferty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56FB6" w:rsidRPr="00956FB6" w:rsidRDefault="00956FB6" w:rsidP="00956F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Termin płatności</w:t>
            </w:r>
          </w:p>
        </w:tc>
      </w:tr>
      <w:tr w:rsidR="00956FB6" w:rsidRPr="00956FB6" w:rsidTr="00EA325E">
        <w:trPr>
          <w:trHeight w:val="420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280642436"/>
            <w:placeholder>
              <w:docPart w:val="C712B6FE5DA2463090DC62E34519144E"/>
            </w:placeholder>
            <w:showingPlcHdr/>
            <w:dropDownList>
              <w:listItem w:value="Wybierz element."/>
              <w:listItem w:displayText="3 miesiące" w:value="3 miesiące"/>
              <w:listItem w:displayText="6 miesięcy" w:value="6 miesięcy"/>
              <w:listItem w:displayText="12 miesięcy" w:value="12 miesięcy"/>
              <w:listItem w:displayText="24 miesięcy" w:value="24 miesięcy"/>
              <w:listItem w:displayText="36 miesięcy" w:value="36 miesięcy"/>
              <w:listItem w:displayText="48 miesięcy" w:value="48 miesięcy"/>
              <w:listItem w:displayText="60 miesięcy" w:value="60 miesięcy"/>
            </w:dropDownList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56FB6" w:rsidRPr="00956FB6" w:rsidRDefault="00956FB6" w:rsidP="00956FB6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56FB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</w:rPr>
                  <w:t>Wybierz element.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864478043"/>
            <w:placeholder>
              <w:docPart w:val="C712B6FE5DA2463090DC62E34519144E"/>
            </w:placeholder>
            <w:showingPlcHdr/>
            <w:dropDownList>
              <w:listItem w:value="Wybierz element."/>
              <w:listItem w:displayText="30 dni" w:value="30 dni"/>
              <w:listItem w:displayText="60 dni" w:value="60 dni"/>
              <w:listItem w:displayText="90 dni" w:value="90 dni"/>
            </w:dropDownList>
          </w:sdtPr>
          <w:sdtEndPr/>
          <w:sdtContent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56FB6" w:rsidRPr="00956FB6" w:rsidRDefault="00956FB6" w:rsidP="00956FB6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56FB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</w:rPr>
                  <w:t>Wybierz element.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1920980331"/>
            <w:placeholder>
              <w:docPart w:val="C712B6FE5DA2463090DC62E34519144E"/>
            </w:placeholder>
            <w:showingPlcHdr/>
            <w:dropDownList>
              <w:listItem w:value="Wybierz element."/>
              <w:listItem w:displayText="30 dni od daty dostarczenia fv" w:value="30 dni od daty dostarczenia fv"/>
            </w:dropDownList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56FB6" w:rsidRPr="00956FB6" w:rsidRDefault="00956FB6" w:rsidP="00956FB6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56FB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</w:rPr>
                  <w:t>Wybierz element.</w:t>
                </w:r>
              </w:p>
            </w:tc>
          </w:sdtContent>
        </w:sdt>
      </w:tr>
    </w:tbl>
    <w:p w:rsidR="00956FB6" w:rsidRDefault="00956FB6" w:rsidP="00956FB6">
      <w:pPr>
        <w:rPr>
          <w:rFonts w:asciiTheme="minorHAnsi" w:eastAsia="Calibri" w:hAnsiTheme="minorHAnsi" w:cstheme="minorHAnsi"/>
          <w:sz w:val="20"/>
          <w:szCs w:val="20"/>
        </w:rPr>
      </w:pPr>
    </w:p>
    <w:p w:rsidR="00956FB6" w:rsidRPr="00956FB6" w:rsidRDefault="00956FB6" w:rsidP="00956FB6">
      <w:pPr>
        <w:ind w:left="-709" w:right="-851"/>
        <w:rPr>
          <w:rFonts w:asciiTheme="minorHAnsi" w:eastAsia="Calibri" w:hAnsiTheme="minorHAnsi" w:cstheme="minorHAnsi"/>
          <w:b/>
          <w:sz w:val="20"/>
          <w:szCs w:val="20"/>
        </w:rPr>
      </w:pPr>
      <w:r w:rsidRPr="00956FB6">
        <w:rPr>
          <w:rFonts w:asciiTheme="minorHAnsi" w:eastAsia="Calibri" w:hAnsiTheme="minorHAnsi" w:cstheme="minorHAnsi"/>
          <w:b/>
          <w:sz w:val="20"/>
          <w:szCs w:val="20"/>
        </w:rPr>
        <w:t>Wymagania Zamawiającego:</w:t>
      </w:r>
    </w:p>
    <w:p w:rsidR="00956FB6" w:rsidRPr="00956FB6" w:rsidRDefault="00956FB6" w:rsidP="00956FB6">
      <w:pPr>
        <w:ind w:left="-709" w:right="-851"/>
        <w:rPr>
          <w:rFonts w:asciiTheme="minorHAnsi" w:hAnsiTheme="minorHAnsi" w:cstheme="minorHAnsi"/>
          <w:b/>
          <w:sz w:val="20"/>
          <w:szCs w:val="20"/>
        </w:rPr>
      </w:pPr>
      <w:r w:rsidRPr="00956FB6">
        <w:rPr>
          <w:rFonts w:asciiTheme="minorHAnsi" w:hAnsiTheme="minorHAnsi" w:cstheme="minorHAnsi"/>
          <w:b/>
          <w:sz w:val="20"/>
          <w:szCs w:val="20"/>
        </w:rPr>
        <w:t>Czynności serwisowe w siedzibie Zamawiającego przeprowadzone przez inżyniera serwisu, posiadającego certyfikat ze szkolenia wydany przez producenta albo aut</w:t>
      </w:r>
      <w:r>
        <w:rPr>
          <w:rFonts w:asciiTheme="minorHAnsi" w:hAnsiTheme="minorHAnsi" w:cstheme="minorHAnsi"/>
          <w:b/>
          <w:sz w:val="20"/>
          <w:szCs w:val="20"/>
        </w:rPr>
        <w:t xml:space="preserve">oryzowaną jednostkę szkoleniową - </w:t>
      </w:r>
      <w:r w:rsidRPr="00956FB6">
        <w:rPr>
          <w:rFonts w:asciiTheme="minorHAnsi" w:hAnsiTheme="minorHAnsi" w:cstheme="minorHAnsi"/>
          <w:b/>
          <w:sz w:val="20"/>
          <w:szCs w:val="20"/>
        </w:rPr>
        <w:t>dokument potwierdzający przeprowadzenie szkolenia</w:t>
      </w:r>
    </w:p>
    <w:p w:rsidR="00956FB6" w:rsidRPr="00956FB6" w:rsidRDefault="00956FB6" w:rsidP="00956FB6">
      <w:pPr>
        <w:ind w:left="-709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lastRenderedPageBreak/>
        <w:t xml:space="preserve">Zad. 2 </w:t>
      </w:r>
      <w:r w:rsidRPr="00956FB6">
        <w:rPr>
          <w:rFonts w:asciiTheme="minorHAnsi" w:eastAsia="Calibri" w:hAnsiTheme="minorHAnsi" w:cstheme="minorHAnsi"/>
          <w:b/>
          <w:sz w:val="20"/>
          <w:szCs w:val="20"/>
        </w:rPr>
        <w:t xml:space="preserve">Przegląd i konserwacja </w:t>
      </w:r>
      <w:r>
        <w:rPr>
          <w:rFonts w:asciiTheme="minorHAnsi" w:eastAsia="Calibri" w:hAnsiTheme="minorHAnsi" w:cstheme="minorHAnsi"/>
          <w:b/>
          <w:sz w:val="20"/>
          <w:szCs w:val="20"/>
        </w:rPr>
        <w:t>c</w:t>
      </w:r>
      <w:r w:rsidRPr="00956FB6">
        <w:rPr>
          <w:rFonts w:asciiTheme="minorHAnsi" w:eastAsia="Calibri" w:hAnsiTheme="minorHAnsi" w:cstheme="minorHAnsi"/>
          <w:b/>
          <w:sz w:val="20"/>
          <w:szCs w:val="20"/>
        </w:rPr>
        <w:t>ytometr</w:t>
      </w:r>
      <w:r>
        <w:rPr>
          <w:rFonts w:asciiTheme="minorHAnsi" w:eastAsia="Calibri" w:hAnsiTheme="minorHAnsi" w:cstheme="minorHAnsi"/>
          <w:b/>
          <w:sz w:val="20"/>
          <w:szCs w:val="20"/>
        </w:rPr>
        <w:t xml:space="preserve">u cyfrowego </w:t>
      </w:r>
      <w:r w:rsidRPr="00956FB6">
        <w:rPr>
          <w:rFonts w:asciiTheme="minorHAnsi" w:eastAsia="Calibri" w:hAnsiTheme="minorHAnsi" w:cstheme="minorHAnsi"/>
          <w:b/>
          <w:sz w:val="20"/>
          <w:szCs w:val="20"/>
        </w:rPr>
        <w:t>BD FACS CANTO II Flow</w:t>
      </w:r>
    </w:p>
    <w:tbl>
      <w:tblPr>
        <w:tblW w:w="10998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648"/>
        <w:gridCol w:w="1701"/>
        <w:gridCol w:w="1559"/>
        <w:gridCol w:w="1134"/>
        <w:gridCol w:w="1277"/>
        <w:gridCol w:w="1417"/>
        <w:gridCol w:w="1701"/>
      </w:tblGrid>
      <w:tr w:rsidR="00956FB6" w:rsidRPr="00956FB6" w:rsidTr="00956FB6">
        <w:trPr>
          <w:trHeight w:val="461"/>
        </w:trPr>
        <w:tc>
          <w:tcPr>
            <w:tcW w:w="561" w:type="dxa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648" w:type="dxa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Model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Nr seryjny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1277" w:type="dxa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Producent</w:t>
            </w:r>
          </w:p>
        </w:tc>
        <w:tc>
          <w:tcPr>
            <w:tcW w:w="1417" w:type="dxa"/>
            <w:shd w:val="clear" w:color="auto" w:fill="D9E2F3" w:themeFill="accent5" w:themeFillTint="33"/>
            <w:vAlign w:val="center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Komórka organizacyjna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:rsidR="00956FB6" w:rsidRDefault="00956FB6" w:rsidP="00956FB6">
            <w:pPr>
              <w:spacing w:after="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Termin realizacji </w:t>
            </w:r>
          </w:p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I przeglądu</w:t>
            </w:r>
          </w:p>
        </w:tc>
      </w:tr>
      <w:tr w:rsidR="00956FB6" w:rsidRPr="00956FB6" w:rsidTr="00956FB6">
        <w:trPr>
          <w:trHeight w:val="857"/>
        </w:trPr>
        <w:tc>
          <w:tcPr>
            <w:tcW w:w="561" w:type="dxa"/>
            <w:shd w:val="clear" w:color="auto" w:fill="auto"/>
            <w:vAlign w:val="center"/>
          </w:tcPr>
          <w:p w:rsidR="00956FB6" w:rsidRPr="00956FB6" w:rsidRDefault="00956FB6" w:rsidP="00956FB6">
            <w:pPr>
              <w:spacing w:after="0"/>
              <w:ind w:left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956FB6" w:rsidRPr="00956FB6" w:rsidRDefault="00956FB6" w:rsidP="00956FB6">
            <w:pPr>
              <w:spacing w:after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Cytometr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c</w:t>
            </w:r>
            <w:r w:rsidRPr="00956FB6">
              <w:rPr>
                <w:rFonts w:asciiTheme="minorHAnsi" w:eastAsia="Calibri" w:hAnsiTheme="minorHAnsi" w:cstheme="minorHAnsi"/>
                <w:sz w:val="20"/>
                <w:szCs w:val="20"/>
              </w:rPr>
              <w:t>yfrowy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6FB6" w:rsidRPr="00956FB6" w:rsidRDefault="00956FB6" w:rsidP="00956FB6">
            <w:pPr>
              <w:spacing w:after="0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13074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B</w:t>
            </w:r>
            <w:r w:rsidRPr="00956FB6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en-US"/>
              </w:rPr>
              <w:t>D FACS CANTO II Flow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6FB6" w:rsidRPr="00956FB6" w:rsidRDefault="00956FB6" w:rsidP="00956FB6">
            <w:pPr>
              <w:spacing w:after="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R33896203504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6FB6" w:rsidRPr="00956FB6" w:rsidRDefault="00956FB6" w:rsidP="00956FB6">
            <w:pPr>
              <w:spacing w:after="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56FB6" w:rsidRPr="00956FB6" w:rsidRDefault="00956FB6" w:rsidP="00956FB6">
            <w:pPr>
              <w:spacing w:after="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BECTON DICKINSON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6FB6" w:rsidRPr="00956FB6" w:rsidRDefault="00956FB6" w:rsidP="00956FB6">
            <w:pPr>
              <w:spacing w:after="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CBTiBMN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6FB6" w:rsidRPr="00956FB6" w:rsidRDefault="00956FB6" w:rsidP="00956FB6">
            <w:pPr>
              <w:spacing w:after="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56FB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do 31.05.2025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r.</w:t>
            </w:r>
          </w:p>
        </w:tc>
      </w:tr>
    </w:tbl>
    <w:p w:rsidR="00956FB6" w:rsidRPr="00956FB6" w:rsidRDefault="00956FB6" w:rsidP="00956FB6">
      <w:pPr>
        <w:rPr>
          <w:rFonts w:asciiTheme="minorHAnsi" w:eastAsia="Calibri" w:hAnsiTheme="minorHAnsi" w:cstheme="minorHAnsi"/>
          <w:sz w:val="20"/>
          <w:szCs w:val="20"/>
        </w:rPr>
      </w:pPr>
    </w:p>
    <w:p w:rsidR="00956FB6" w:rsidRPr="00956FB6" w:rsidRDefault="00956FB6" w:rsidP="00956FB6">
      <w:pPr>
        <w:rPr>
          <w:rFonts w:asciiTheme="minorHAnsi" w:eastAsia="Calibri" w:hAnsiTheme="minorHAnsi" w:cstheme="minorHAnsi"/>
          <w:b/>
          <w:sz w:val="20"/>
          <w:szCs w:val="20"/>
        </w:rPr>
      </w:pPr>
      <w:r w:rsidRPr="00956FB6">
        <w:rPr>
          <w:rFonts w:asciiTheme="minorHAnsi" w:eastAsia="Calibri" w:hAnsiTheme="minorHAnsi" w:cstheme="minorHAnsi"/>
          <w:b/>
          <w:sz w:val="20"/>
          <w:szCs w:val="20"/>
        </w:rPr>
        <w:t>Wymagania:</w:t>
      </w:r>
    </w:p>
    <w:p w:rsidR="00956FB6" w:rsidRPr="00956FB6" w:rsidRDefault="00956FB6" w:rsidP="00956FB6">
      <w:pPr>
        <w:rPr>
          <w:rFonts w:asciiTheme="minorHAnsi" w:eastAsia="Calibri" w:hAnsiTheme="minorHAnsi" w:cstheme="minorHAnsi"/>
          <w:b/>
          <w:sz w:val="20"/>
          <w:szCs w:val="20"/>
        </w:rPr>
      </w:pPr>
      <w:r w:rsidRPr="00956FB6">
        <w:rPr>
          <w:rFonts w:asciiTheme="minorHAnsi" w:eastAsia="Calibri" w:hAnsiTheme="minorHAnsi" w:cstheme="minorHAnsi"/>
          <w:b/>
          <w:sz w:val="20"/>
          <w:szCs w:val="20"/>
        </w:rPr>
        <w:t>Przegląd wykonany zgodnie z wymaganiami producenta zawierający ponadto: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Sprawdzenie bezpieczeństwa mechanicznego,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Kontrolę występowania usterek zewnętrznych,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Czyszczenie dróg chłodzenia i odprowadzania ciepła,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Usunięcie zauważonych drobnych usterek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Wymianę materiałów eksploatacyjnych, bądź części zużywalnych zgodnie z zaleceniami producenta (filtrów, uszczelek, wężyków, przyłączy oraz </w:t>
      </w:r>
      <w:r w:rsidRPr="00956FB6">
        <w:rPr>
          <w:rFonts w:asciiTheme="minorHAnsi" w:eastAsia="Calibri" w:hAnsiTheme="minorHAnsi" w:cstheme="minorHAnsi"/>
          <w:sz w:val="20"/>
          <w:szCs w:val="20"/>
          <w:u w:val="single"/>
          <w:lang w:eastAsia="pl-PL"/>
        </w:rPr>
        <w:t>bal seal spring – side 3szt.</w:t>
      </w: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 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Sprawdzenie czujników poziomu cieczy (w razie konieczności wymiana na nowe)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Sprawdzenie wydajności kompresora 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Skasowanie błędów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Czyszczenie zespołu optycznego (pryzmaty)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Kalibracja urządzenia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Aktualizacja oprogramowania systemowego jeśli jest wymagana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Sprawdzenie funkcjonowania urządzenia i jego gotowości do pracy,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Sprawdzenie bezpieczeństwa elektrycznego, wraz z wykonaniem pomiarów bezpieczeństwa elektrycznego (</w:t>
      </w:r>
      <w:r w:rsidRPr="00956FB6">
        <w:rPr>
          <w:rFonts w:asciiTheme="minorHAnsi" w:eastAsia="Calibri" w:hAnsiTheme="minorHAnsi" w:cstheme="minorHAnsi"/>
          <w:sz w:val="20"/>
          <w:szCs w:val="20"/>
          <w:u w:val="single"/>
          <w:lang w:eastAsia="pl-PL"/>
        </w:rPr>
        <w:t>jeśli producent tego wymaga</w:t>
      </w: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)</w:t>
      </w:r>
    </w:p>
    <w:p w:rsidR="00956FB6" w:rsidRPr="00956FB6" w:rsidRDefault="00956FB6" w:rsidP="00956FB6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567" w:firstLine="0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Dokumentację przeglądu potwierdzoną wpisem w paszporcie technicznym urządzenia, oraz w karcie pracy serwisu z  zaznaczeniem stanu urządzenia sprawne/niesprawne</w:t>
      </w:r>
    </w:p>
    <w:p w:rsidR="00956FB6" w:rsidRPr="00956FB6" w:rsidRDefault="00956FB6" w:rsidP="00956FB6">
      <w:pPr>
        <w:spacing w:before="100" w:beforeAutospacing="1" w:after="100" w:afterAutospacing="1" w:line="240" w:lineRule="auto"/>
        <w:ind w:left="-709" w:right="-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Kolejny przegląd: Zgodnie z zaleceniami producenta wskazany przez Wykonawcę w paszporcie oraz karcie pracy jednak nie wcześniej niż 30 dni od wskazanego terminu (ilość przeglądów dla urządzenia w okresie obowiązywania umowy – 3)</w:t>
      </w:r>
    </w:p>
    <w:p w:rsidR="00956FB6" w:rsidRPr="00956FB6" w:rsidRDefault="00956FB6" w:rsidP="00956FB6">
      <w:pPr>
        <w:suppressAutoHyphens/>
        <w:spacing w:after="0" w:line="360" w:lineRule="auto"/>
        <w:jc w:val="center"/>
        <w:rPr>
          <w:rFonts w:asciiTheme="minorHAnsi" w:eastAsia="Times New Roman" w:hAnsiTheme="minorHAnsi" w:cstheme="minorHAnsi"/>
          <w:b/>
          <w:color w:val="323E4F"/>
          <w:sz w:val="20"/>
          <w:szCs w:val="20"/>
        </w:rPr>
      </w:pPr>
      <w:r w:rsidRPr="00956FB6">
        <w:rPr>
          <w:rFonts w:asciiTheme="minorHAnsi" w:eastAsia="Times New Roman" w:hAnsiTheme="minorHAnsi" w:cstheme="minorHAnsi"/>
          <w:b/>
          <w:color w:val="323E4F"/>
          <w:sz w:val="20"/>
          <w:szCs w:val="20"/>
        </w:rPr>
        <w:t xml:space="preserve">SPECYFIKACJA CENOWA </w:t>
      </w:r>
    </w:p>
    <w:tbl>
      <w:tblPr>
        <w:tblW w:w="5866" w:type="pct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746"/>
        <w:gridCol w:w="744"/>
        <w:gridCol w:w="598"/>
        <w:gridCol w:w="1493"/>
        <w:gridCol w:w="1478"/>
        <w:gridCol w:w="1112"/>
        <w:gridCol w:w="1946"/>
      </w:tblGrid>
      <w:tr w:rsidR="00956FB6" w:rsidRPr="00956FB6" w:rsidTr="00EA325E">
        <w:trPr>
          <w:trHeight w:val="739"/>
        </w:trPr>
        <w:tc>
          <w:tcPr>
            <w:tcW w:w="242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292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50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j.m</w:t>
            </w:r>
          </w:p>
        </w:tc>
        <w:tc>
          <w:tcPr>
            <w:tcW w:w="281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702" w:type="pct"/>
            <w:shd w:val="clear" w:color="auto" w:fill="D9E2F3" w:themeFill="accent5" w:themeFillTint="33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 xml:space="preserve">Cena jednostkowa netto </w:t>
            </w:r>
          </w:p>
        </w:tc>
        <w:tc>
          <w:tcPr>
            <w:tcW w:w="695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523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VAT %</w:t>
            </w:r>
          </w:p>
        </w:tc>
        <w:tc>
          <w:tcPr>
            <w:tcW w:w="916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Wartość brutto</w:t>
            </w:r>
          </w:p>
        </w:tc>
      </w:tr>
      <w:tr w:rsidR="00956FB6" w:rsidRPr="00956FB6" w:rsidTr="00EA325E">
        <w:trPr>
          <w:trHeight w:val="176"/>
        </w:trPr>
        <w:tc>
          <w:tcPr>
            <w:tcW w:w="242" w:type="pct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92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1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2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 xml:space="preserve">6 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16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8</w:t>
            </w:r>
          </w:p>
        </w:tc>
      </w:tr>
      <w:tr w:rsidR="00956FB6" w:rsidRPr="00956FB6" w:rsidTr="00EA325E">
        <w:tc>
          <w:tcPr>
            <w:tcW w:w="242" w:type="pct"/>
            <w:tcBorders>
              <w:bottom w:val="single" w:sz="4" w:space="0" w:color="000000"/>
            </w:tcBorders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92" w:type="pct"/>
            <w:tcBorders>
              <w:bottom w:val="single" w:sz="4" w:space="0" w:color="000000"/>
            </w:tcBorders>
            <w:shd w:val="clear" w:color="auto" w:fill="auto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val="en-US"/>
              </w:rPr>
              <w:t>C</w:t>
            </w:r>
            <w:r w:rsidRPr="00956FB6">
              <w:rPr>
                <w:rFonts w:asciiTheme="minorHAnsi" w:eastAsia="Calibri" w:hAnsiTheme="minorHAnsi" w:cstheme="minorHAnsi"/>
                <w:sz w:val="20"/>
                <w:szCs w:val="20"/>
                <w:lang w:val="en-US"/>
              </w:rPr>
              <w:t>ytometr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n-US"/>
              </w:rPr>
              <w:t xml:space="preserve"> cyfrowy</w:t>
            </w:r>
            <w:r w:rsidRPr="00956FB6">
              <w:rPr>
                <w:rFonts w:asciiTheme="minorHAnsi" w:eastAsia="Calibri" w:hAnsiTheme="minorHAnsi" w:cstheme="minorHAnsi"/>
                <w:sz w:val="20"/>
                <w:szCs w:val="20"/>
                <w:lang w:val="en-US"/>
              </w:rPr>
              <w:t xml:space="preserve"> BD FACS CANTO II Flow</w:t>
            </w:r>
          </w:p>
        </w:tc>
        <w:tc>
          <w:tcPr>
            <w:tcW w:w="35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usługa</w:t>
            </w:r>
          </w:p>
        </w:tc>
        <w:tc>
          <w:tcPr>
            <w:tcW w:w="28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56FB6" w:rsidRPr="00956FB6" w:rsidTr="00EA325E">
        <w:tc>
          <w:tcPr>
            <w:tcW w:w="242" w:type="pct"/>
            <w:tcBorders>
              <w:left w:val="nil"/>
              <w:bottom w:val="nil"/>
              <w:right w:val="nil"/>
            </w:tcBorders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5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81" w:type="pct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SUMA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:rsidR="00956FB6" w:rsidRDefault="00956FB6" w:rsidP="00956FB6">
      <w:pPr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956FB6" w:rsidRPr="00956FB6" w:rsidRDefault="00956FB6" w:rsidP="00956FB6">
      <w:pPr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1"/>
        <w:tblW w:w="6662" w:type="dxa"/>
        <w:tblInd w:w="3114" w:type="dxa"/>
        <w:tblLook w:val="04A0" w:firstRow="1" w:lastRow="0" w:firstColumn="1" w:lastColumn="0" w:noHBand="0" w:noVBand="1"/>
      </w:tblPr>
      <w:tblGrid>
        <w:gridCol w:w="1984"/>
        <w:gridCol w:w="2552"/>
        <w:gridCol w:w="2126"/>
      </w:tblGrid>
      <w:tr w:rsidR="00956FB6" w:rsidRPr="00956FB6" w:rsidTr="00EA325E">
        <w:trPr>
          <w:trHeight w:val="41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56FB6" w:rsidRPr="00956FB6" w:rsidRDefault="00956FB6" w:rsidP="00EA325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56FB6" w:rsidRPr="00956FB6" w:rsidRDefault="00956FB6" w:rsidP="00EA325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Ważność oferty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56FB6" w:rsidRPr="00956FB6" w:rsidRDefault="00956FB6" w:rsidP="00EA325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Termin płatności</w:t>
            </w:r>
          </w:p>
        </w:tc>
      </w:tr>
      <w:tr w:rsidR="00956FB6" w:rsidRPr="00956FB6" w:rsidTr="00EA325E">
        <w:trPr>
          <w:trHeight w:val="420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120610880"/>
            <w:placeholder>
              <w:docPart w:val="AA354DA9C6D441AA8CDC4FCDD21320BA"/>
            </w:placeholder>
            <w:showingPlcHdr/>
            <w:dropDownList>
              <w:listItem w:value="Wybierz element."/>
              <w:listItem w:displayText="3 miesiące" w:value="3 miesiące"/>
              <w:listItem w:displayText="6 miesięcy" w:value="6 miesięcy"/>
              <w:listItem w:displayText="12 miesięcy" w:value="12 miesięcy"/>
              <w:listItem w:displayText="24 miesięcy" w:value="24 miesięcy"/>
              <w:listItem w:displayText="36 miesięcy" w:value="36 miesięcy"/>
              <w:listItem w:displayText="48 miesięcy" w:value="48 miesięcy"/>
              <w:listItem w:displayText="60 miesięcy" w:value="60 miesięcy"/>
            </w:dropDownList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56FB6" w:rsidRPr="00956FB6" w:rsidRDefault="00956FB6" w:rsidP="00EA325E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56FB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</w:rPr>
                  <w:t>Wybierz element.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-1788112120"/>
            <w:placeholder>
              <w:docPart w:val="AA354DA9C6D441AA8CDC4FCDD21320BA"/>
            </w:placeholder>
            <w:showingPlcHdr/>
            <w:dropDownList>
              <w:listItem w:value="Wybierz element."/>
              <w:listItem w:displayText="30 dni" w:value="30 dni"/>
              <w:listItem w:displayText="60 dni" w:value="60 dni"/>
              <w:listItem w:displayText="90 dni" w:value="90 dni"/>
            </w:dropDownList>
          </w:sdtPr>
          <w:sdtEndPr/>
          <w:sdtContent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56FB6" w:rsidRPr="00956FB6" w:rsidRDefault="00956FB6" w:rsidP="00EA325E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56FB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</w:rPr>
                  <w:t>Wybierz element.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25677476"/>
            <w:placeholder>
              <w:docPart w:val="AA354DA9C6D441AA8CDC4FCDD21320BA"/>
            </w:placeholder>
            <w:showingPlcHdr/>
            <w:dropDownList>
              <w:listItem w:value="Wybierz element."/>
              <w:listItem w:displayText="30 dni od daty dostarczenia fv" w:value="30 dni od daty dostarczenia fv"/>
            </w:dropDownList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56FB6" w:rsidRPr="00956FB6" w:rsidRDefault="00956FB6" w:rsidP="00EA325E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56FB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</w:rPr>
                  <w:t>Wybierz element.</w:t>
                </w:r>
              </w:p>
            </w:tc>
          </w:sdtContent>
        </w:sdt>
      </w:tr>
    </w:tbl>
    <w:p w:rsidR="00956FB6" w:rsidRPr="00956FB6" w:rsidRDefault="00956FB6" w:rsidP="00956FB6">
      <w:pPr>
        <w:ind w:left="-709" w:right="-851"/>
        <w:rPr>
          <w:rFonts w:asciiTheme="minorHAnsi" w:eastAsia="Calibri" w:hAnsiTheme="minorHAnsi" w:cstheme="minorHAnsi"/>
          <w:sz w:val="20"/>
          <w:szCs w:val="20"/>
        </w:rPr>
      </w:pPr>
    </w:p>
    <w:p w:rsidR="00956FB6" w:rsidRPr="00956FB6" w:rsidRDefault="00956FB6" w:rsidP="00956FB6">
      <w:pPr>
        <w:ind w:left="-709" w:right="-851"/>
        <w:rPr>
          <w:rFonts w:asciiTheme="minorHAnsi" w:eastAsia="Calibri" w:hAnsiTheme="minorHAnsi" w:cstheme="minorHAnsi"/>
          <w:b/>
          <w:sz w:val="20"/>
          <w:szCs w:val="20"/>
        </w:rPr>
      </w:pPr>
      <w:r w:rsidRPr="00956FB6">
        <w:rPr>
          <w:rFonts w:asciiTheme="minorHAnsi" w:eastAsia="Calibri" w:hAnsiTheme="minorHAnsi" w:cstheme="minorHAnsi"/>
          <w:b/>
          <w:sz w:val="20"/>
          <w:szCs w:val="20"/>
        </w:rPr>
        <w:t>Wymagania Zamawiającego:</w:t>
      </w:r>
    </w:p>
    <w:p w:rsidR="00956FB6" w:rsidRPr="00956FB6" w:rsidRDefault="00956FB6" w:rsidP="00956FB6">
      <w:pPr>
        <w:ind w:left="-709" w:right="-851"/>
        <w:rPr>
          <w:rFonts w:asciiTheme="minorHAnsi" w:hAnsiTheme="minorHAnsi" w:cstheme="minorHAnsi"/>
          <w:b/>
          <w:sz w:val="20"/>
          <w:szCs w:val="20"/>
        </w:rPr>
      </w:pPr>
      <w:r w:rsidRPr="00956FB6">
        <w:rPr>
          <w:rFonts w:asciiTheme="minorHAnsi" w:hAnsiTheme="minorHAnsi" w:cstheme="minorHAnsi"/>
          <w:b/>
          <w:sz w:val="20"/>
          <w:szCs w:val="20"/>
        </w:rPr>
        <w:t>Czynności serwisowe w siedzibie Zamawiającego przeprowadzone przez inżyniera serwisu, posiadającego certyfikat ze szkolenia wydany przez producenta albo aut</w:t>
      </w:r>
      <w:r>
        <w:rPr>
          <w:rFonts w:asciiTheme="minorHAnsi" w:hAnsiTheme="minorHAnsi" w:cstheme="minorHAnsi"/>
          <w:b/>
          <w:sz w:val="20"/>
          <w:szCs w:val="20"/>
        </w:rPr>
        <w:t xml:space="preserve">oryzowaną jednostkę szkoleniową - </w:t>
      </w:r>
      <w:r w:rsidRPr="00956FB6">
        <w:rPr>
          <w:rFonts w:asciiTheme="minorHAnsi" w:hAnsiTheme="minorHAnsi" w:cstheme="minorHAnsi"/>
          <w:b/>
          <w:sz w:val="20"/>
          <w:szCs w:val="20"/>
        </w:rPr>
        <w:t>dokument potwierdzający przeprowadzenie szkolenia</w:t>
      </w:r>
    </w:p>
    <w:p w:rsidR="00956FB6" w:rsidRPr="00956FB6" w:rsidRDefault="00956FB6" w:rsidP="00956FB6">
      <w:pPr>
        <w:rPr>
          <w:rFonts w:asciiTheme="minorHAnsi" w:hAnsiTheme="minorHAnsi" w:cstheme="minorHAnsi"/>
          <w:b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56FB6" w:rsidRPr="00956FB6" w:rsidRDefault="00956FB6" w:rsidP="00956FB6">
      <w:pPr>
        <w:spacing w:line="256" w:lineRule="auto"/>
        <w:ind w:left="-709" w:right="-993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Zadanie nr 3</w:t>
      </w:r>
      <w:r w:rsidRPr="00956FB6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B6468C">
        <w:rPr>
          <w:rFonts w:asciiTheme="minorHAnsi" w:hAnsiTheme="minorHAnsi" w:cstheme="minorHAnsi"/>
          <w:b/>
          <w:sz w:val="20"/>
          <w:szCs w:val="20"/>
        </w:rPr>
        <w:t>Serwis</w:t>
      </w:r>
      <w:r w:rsidRPr="00956FB6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a</w:t>
      </w:r>
      <w:r w:rsidRPr="00956FB6">
        <w:rPr>
          <w:rFonts w:asciiTheme="minorHAnsi" w:hAnsiTheme="minorHAnsi" w:cstheme="minorHAnsi"/>
          <w:b/>
          <w:sz w:val="20"/>
          <w:szCs w:val="20"/>
        </w:rPr>
        <w:t>parat</w:t>
      </w:r>
      <w:r>
        <w:rPr>
          <w:rFonts w:asciiTheme="minorHAnsi" w:hAnsiTheme="minorHAnsi" w:cstheme="minorHAnsi"/>
          <w:b/>
          <w:sz w:val="20"/>
          <w:szCs w:val="20"/>
        </w:rPr>
        <w:t>u</w:t>
      </w:r>
      <w:r w:rsidRPr="00956FB6">
        <w:rPr>
          <w:rFonts w:asciiTheme="minorHAnsi" w:hAnsiTheme="minorHAnsi" w:cstheme="minorHAnsi"/>
          <w:b/>
          <w:sz w:val="20"/>
          <w:szCs w:val="20"/>
        </w:rPr>
        <w:t xml:space="preserve"> do barwienia immunohistochemicznego oraz hybrydyzacji in-situ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56FB6">
        <w:rPr>
          <w:rFonts w:asciiTheme="minorHAnsi" w:hAnsiTheme="minorHAnsi" w:cstheme="minorHAnsi"/>
          <w:b/>
          <w:sz w:val="20"/>
          <w:szCs w:val="20"/>
        </w:rPr>
        <w:t>OMNIS GI100</w:t>
      </w:r>
    </w:p>
    <w:tbl>
      <w:tblPr>
        <w:tblStyle w:val="Tabela-Siatka2"/>
        <w:tblW w:w="10997" w:type="dxa"/>
        <w:tblInd w:w="-796" w:type="dxa"/>
        <w:tblLayout w:type="fixed"/>
        <w:tblLook w:val="04A0" w:firstRow="1" w:lastRow="0" w:firstColumn="1" w:lastColumn="0" w:noHBand="0" w:noVBand="1"/>
      </w:tblPr>
      <w:tblGrid>
        <w:gridCol w:w="561"/>
        <w:gridCol w:w="1644"/>
        <w:gridCol w:w="1705"/>
        <w:gridCol w:w="1559"/>
        <w:gridCol w:w="1134"/>
        <w:gridCol w:w="1276"/>
        <w:gridCol w:w="1456"/>
        <w:gridCol w:w="1662"/>
      </w:tblGrid>
      <w:tr w:rsidR="00956FB6" w:rsidRPr="00956FB6" w:rsidTr="00956FB6">
        <w:trPr>
          <w:trHeight w:val="4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Model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Nr seryjny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Rok produkcji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Producent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Komórka organizacyjna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Termin realizacji I przeglądu</w:t>
            </w:r>
          </w:p>
        </w:tc>
      </w:tr>
      <w:tr w:rsidR="00956FB6" w:rsidRPr="00956FB6" w:rsidTr="00956FB6">
        <w:trPr>
          <w:trHeight w:val="103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Aparat do barwienia immunohistochemicznego oraz hybrydyzacji in-situ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OMNIS GI100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1708005603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DAKO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DL/ZPN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B6" w:rsidRPr="00956FB6" w:rsidRDefault="00956FB6" w:rsidP="00956FB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956FB6">
              <w:rPr>
                <w:rFonts w:asciiTheme="minorHAnsi" w:hAnsiTheme="minorHAnsi" w:cstheme="minorHAnsi"/>
                <w:sz w:val="20"/>
                <w:szCs w:val="20"/>
              </w:rPr>
              <w:t>arzec 2026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r.</w:t>
            </w:r>
          </w:p>
        </w:tc>
      </w:tr>
    </w:tbl>
    <w:p w:rsidR="00956FB6" w:rsidRPr="00956FB6" w:rsidRDefault="00956FB6" w:rsidP="00956FB6">
      <w:pPr>
        <w:spacing w:line="256" w:lineRule="auto"/>
        <w:rPr>
          <w:rFonts w:asciiTheme="minorHAnsi" w:hAnsiTheme="minorHAnsi" w:cstheme="minorHAnsi"/>
          <w:sz w:val="20"/>
          <w:szCs w:val="20"/>
        </w:rPr>
      </w:pPr>
    </w:p>
    <w:p w:rsidR="00956FB6" w:rsidRPr="00956FB6" w:rsidRDefault="00956FB6" w:rsidP="00956FB6">
      <w:pPr>
        <w:spacing w:line="256" w:lineRule="auto"/>
        <w:rPr>
          <w:rFonts w:asciiTheme="minorHAnsi" w:hAnsiTheme="minorHAnsi" w:cstheme="minorHAnsi"/>
          <w:b/>
          <w:sz w:val="20"/>
          <w:szCs w:val="20"/>
        </w:rPr>
      </w:pPr>
      <w:r w:rsidRPr="00956FB6">
        <w:rPr>
          <w:rFonts w:asciiTheme="minorHAnsi" w:hAnsiTheme="minorHAnsi" w:cstheme="minorHAnsi"/>
          <w:b/>
          <w:sz w:val="20"/>
          <w:szCs w:val="20"/>
        </w:rPr>
        <w:t>Wymagania:</w:t>
      </w:r>
    </w:p>
    <w:p w:rsidR="00956FB6" w:rsidRPr="00956FB6" w:rsidRDefault="00956FB6" w:rsidP="00956FB6">
      <w:pPr>
        <w:spacing w:line="256" w:lineRule="auto"/>
        <w:rPr>
          <w:rFonts w:asciiTheme="minorHAnsi" w:hAnsiTheme="minorHAnsi" w:cstheme="minorHAnsi"/>
          <w:b/>
          <w:sz w:val="20"/>
          <w:szCs w:val="20"/>
        </w:rPr>
      </w:pPr>
      <w:r w:rsidRPr="00956FB6">
        <w:rPr>
          <w:rFonts w:asciiTheme="minorHAnsi" w:hAnsiTheme="minorHAnsi" w:cstheme="minorHAnsi"/>
          <w:b/>
          <w:sz w:val="20"/>
          <w:szCs w:val="20"/>
        </w:rPr>
        <w:t xml:space="preserve">Umowa serwisowa zawierająca co najmniej: </w:t>
      </w:r>
    </w:p>
    <w:p w:rsidR="00956FB6" w:rsidRPr="00956FB6" w:rsidRDefault="00956FB6" w:rsidP="00956FB6">
      <w:pPr>
        <w:numPr>
          <w:ilvl w:val="0"/>
          <w:numId w:val="3"/>
        </w:numPr>
        <w:spacing w:after="0" w:line="360" w:lineRule="auto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Wykonywanie okresowych przeglądów technicznych zgodnie z cyklicznością przewidzianą przez producenta urządzenia,  przeglądy sprzętu obejmują: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Sprawdzenie bezpieczeństwa mechanicznego,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Kontrolę występowania usterek,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Czyszczenie, konserwacje i kalibracje urządzenia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Czyszczenie układu chłodzenia i dróg odprowadzania ciepła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Upgrade oprogramowania – jeśli wymagany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Wymianę części niezbędnych do wykonania przeglądu (zgodnie z zaleceniami producenta)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Sprawdzenie bezpieczeństwa elektrycznego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Sprawdzenie funkcjonowania urządzenia i jego gotowości do pracy,</w:t>
      </w:r>
    </w:p>
    <w:p w:rsidR="00956FB6" w:rsidRPr="00956FB6" w:rsidRDefault="00956FB6" w:rsidP="00956FB6">
      <w:pPr>
        <w:tabs>
          <w:tab w:val="left" w:pos="567"/>
        </w:tabs>
        <w:spacing w:line="360" w:lineRule="auto"/>
        <w:ind w:left="927" w:right="-284"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Dokumentację przeglądu potwierdzoną wpisem w paszporcie technicznym urządzenia, oraz w karcie pracy serwisu z  zaznaczeniem stanu urządzenia sprane/niesprawne</w:t>
      </w:r>
    </w:p>
    <w:p w:rsidR="00956FB6" w:rsidRPr="00956FB6" w:rsidRDefault="00956FB6" w:rsidP="00956FB6">
      <w:pPr>
        <w:tabs>
          <w:tab w:val="left" w:pos="567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 xml:space="preserve">             2)    Naprawy sprzętu obejmujące: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Interwencje na każdorazowe wezwanie Zamawiającego – praca w miejscu instalacji sprzętu wraz z dojazdem inżyniera serwisu,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Diagnozowanie błędów, usuwanie usterek oraz dokonywanie napraw sprzętu (przywracanie sprzętu do pełnej funkcjonalności) w sytuacjach wynikłych z naturalnego zużycia części, oraz w przypadkach wystąpienia nagłej awarii.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Dostawa części zamiennych i komponentów specjalnych niezbędnych do usuwania usterek i przeprowadzenia napraw sprzętu, w tym dostawa wszystkich części zamiennych w celu zastąpienia tych, które się uszkodziły lub stały się nieprzydatne do dalszej eksploatacji,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Czas naprawy do 10 dni roboczych (do 15 dni roboczych w przypadku konieczności sprowadzenia części od producenta) od wysłania zgłoszenia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- </w:t>
      </w:r>
      <w:r>
        <w:rPr>
          <w:rFonts w:asciiTheme="minorHAnsi" w:eastAsia="Calibri" w:hAnsiTheme="minorHAnsi" w:cstheme="minorHAnsi"/>
          <w:sz w:val="20"/>
          <w:szCs w:val="20"/>
          <w:lang w:eastAsia="pl-PL"/>
        </w:rPr>
        <w:t>N</w:t>
      </w: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iezwłoczna pomoc w rozwiązywaniu problemów w stosowanych aplikacjach (telefonicznie, pocztą elektroniczną, diagnostyką zdalną)</w:t>
      </w:r>
      <w:r>
        <w:rPr>
          <w:rFonts w:asciiTheme="minorHAnsi" w:eastAsia="Calibri" w:hAnsiTheme="minorHAnsi" w:cstheme="minorHAnsi"/>
          <w:sz w:val="20"/>
          <w:szCs w:val="20"/>
          <w:lang w:eastAsia="pl-PL"/>
        </w:rPr>
        <w:t>,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Kontrola sprzętu po przeprowadzonej naprawie,</w:t>
      </w:r>
    </w:p>
    <w:p w:rsidR="00956FB6" w:rsidRPr="00956FB6" w:rsidRDefault="00956FB6" w:rsidP="00956FB6">
      <w:pPr>
        <w:spacing w:after="0" w:line="360" w:lineRule="auto"/>
        <w:ind w:left="927"/>
        <w:contextualSpacing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956FB6">
        <w:rPr>
          <w:rFonts w:asciiTheme="minorHAnsi" w:eastAsia="Calibri" w:hAnsiTheme="minorHAnsi" w:cstheme="minorHAnsi"/>
          <w:sz w:val="20"/>
          <w:szCs w:val="20"/>
          <w:lang w:eastAsia="pl-PL"/>
        </w:rPr>
        <w:t>- Dokumentacja interwencji serwisowych.</w:t>
      </w:r>
    </w:p>
    <w:p w:rsidR="00956FB6" w:rsidRPr="00956FB6" w:rsidRDefault="00956FB6" w:rsidP="00956FB6">
      <w:pPr>
        <w:spacing w:line="256" w:lineRule="auto"/>
        <w:ind w:left="-709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956FB6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>Kolejny przegląd: Zgodnie z zaleceniami producenta wskazany przez Wykonawcę w paszporcie oraz karcie pracy jednak nie wcześniej niż 30 dni od wskazanego terminu (ilość przeglądów urządzenia w okresie obowiązywania umowy - 2).</w:t>
      </w:r>
    </w:p>
    <w:p w:rsidR="00956FB6" w:rsidRPr="00956FB6" w:rsidRDefault="00956FB6" w:rsidP="00956FB6">
      <w:pPr>
        <w:spacing w:line="256" w:lineRule="auto"/>
        <w:ind w:left="-709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956FB6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Okres obowiązywania umowy serwisowej – </w:t>
      </w:r>
      <w:r w:rsidR="00130743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umowa </w:t>
      </w:r>
      <w:r w:rsidR="00130743" w:rsidRPr="00130743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na </w:t>
      </w:r>
      <w:r w:rsidR="00130743" w:rsidRPr="00130743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 xml:space="preserve">36 miesięcy począwszy od daty </w:t>
      </w:r>
      <w:r w:rsidR="00130743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podpisania umowy</w:t>
      </w:r>
      <w:r w:rsidR="00130743" w:rsidRPr="00130743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956FB6">
        <w:rPr>
          <w:rFonts w:asciiTheme="minorHAnsi" w:hAnsiTheme="minorHAnsi" w:cstheme="minorHAnsi"/>
          <w:b/>
          <w:color w:val="000000"/>
          <w:sz w:val="20"/>
          <w:szCs w:val="20"/>
        </w:rPr>
        <w:t>z możliwością wcześniejszego rozwiązania umowy w przypadku wycofania wsparcia przez producenta lub konieczności kasacji urządzenia.</w:t>
      </w:r>
    </w:p>
    <w:p w:rsidR="00956FB6" w:rsidRPr="00956FB6" w:rsidRDefault="00956FB6" w:rsidP="00956FB6">
      <w:pPr>
        <w:spacing w:line="256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956FB6" w:rsidRPr="00956FB6" w:rsidRDefault="00956FB6" w:rsidP="00956FB6">
      <w:pPr>
        <w:suppressAutoHyphens/>
        <w:spacing w:after="0" w:line="360" w:lineRule="auto"/>
        <w:jc w:val="center"/>
        <w:rPr>
          <w:rFonts w:asciiTheme="minorHAnsi" w:eastAsia="Times New Roman" w:hAnsiTheme="minorHAnsi" w:cstheme="minorHAnsi"/>
          <w:b/>
          <w:color w:val="323E4F"/>
          <w:sz w:val="20"/>
          <w:szCs w:val="20"/>
        </w:rPr>
      </w:pPr>
      <w:r w:rsidRPr="00956FB6">
        <w:rPr>
          <w:rFonts w:asciiTheme="minorHAnsi" w:eastAsia="Times New Roman" w:hAnsiTheme="minorHAnsi" w:cstheme="minorHAnsi"/>
          <w:b/>
          <w:color w:val="323E4F"/>
          <w:sz w:val="20"/>
          <w:szCs w:val="20"/>
        </w:rPr>
        <w:t xml:space="preserve">SPECYFIKACJA CENOWA </w:t>
      </w:r>
    </w:p>
    <w:tbl>
      <w:tblPr>
        <w:tblW w:w="5866" w:type="pct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745"/>
        <w:gridCol w:w="744"/>
        <w:gridCol w:w="598"/>
        <w:gridCol w:w="1493"/>
        <w:gridCol w:w="1478"/>
        <w:gridCol w:w="1112"/>
        <w:gridCol w:w="1946"/>
      </w:tblGrid>
      <w:tr w:rsidR="00956FB6" w:rsidRPr="00956FB6" w:rsidTr="00956FB6">
        <w:trPr>
          <w:trHeight w:val="739"/>
        </w:trPr>
        <w:tc>
          <w:tcPr>
            <w:tcW w:w="242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291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50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j.m</w:t>
            </w:r>
          </w:p>
        </w:tc>
        <w:tc>
          <w:tcPr>
            <w:tcW w:w="281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702" w:type="pct"/>
            <w:shd w:val="clear" w:color="auto" w:fill="D9E2F3" w:themeFill="accent5" w:themeFillTint="33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 xml:space="preserve">Cena jednostkowa netto </w:t>
            </w:r>
          </w:p>
        </w:tc>
        <w:tc>
          <w:tcPr>
            <w:tcW w:w="695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Wartość netto</w:t>
            </w:r>
          </w:p>
        </w:tc>
        <w:tc>
          <w:tcPr>
            <w:tcW w:w="523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VAT %</w:t>
            </w:r>
          </w:p>
        </w:tc>
        <w:tc>
          <w:tcPr>
            <w:tcW w:w="915" w:type="pct"/>
            <w:shd w:val="clear" w:color="auto" w:fill="D9E2F3" w:themeFill="accent5" w:themeFillTint="33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Wartość brutto</w:t>
            </w:r>
          </w:p>
        </w:tc>
      </w:tr>
      <w:tr w:rsidR="00956FB6" w:rsidRPr="00956FB6" w:rsidTr="00956FB6">
        <w:trPr>
          <w:trHeight w:val="176"/>
        </w:trPr>
        <w:tc>
          <w:tcPr>
            <w:tcW w:w="242" w:type="pct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91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1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2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 xml:space="preserve">6 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15" w:type="pct"/>
            <w:shd w:val="clear" w:color="auto" w:fill="auto"/>
            <w:vAlign w:val="bottom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8</w:t>
            </w:r>
          </w:p>
        </w:tc>
      </w:tr>
      <w:tr w:rsidR="00956FB6" w:rsidRPr="00956FB6" w:rsidTr="00956FB6">
        <w:tc>
          <w:tcPr>
            <w:tcW w:w="242" w:type="pct"/>
            <w:tcBorders>
              <w:bottom w:val="single" w:sz="4" w:space="0" w:color="000000"/>
            </w:tcBorders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91" w:type="pct"/>
            <w:tcBorders>
              <w:bottom w:val="single" w:sz="4" w:space="0" w:color="000000"/>
            </w:tcBorders>
            <w:shd w:val="clear" w:color="auto" w:fill="auto"/>
          </w:tcPr>
          <w:p w:rsidR="00956FB6" w:rsidRPr="00956FB6" w:rsidRDefault="00956FB6" w:rsidP="00956FB6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956FB6">
              <w:rPr>
                <w:rFonts w:asciiTheme="minorHAnsi" w:eastAsia="Calibri" w:hAnsiTheme="minorHAnsi" w:cstheme="minorHAnsi"/>
                <w:sz w:val="20"/>
                <w:szCs w:val="20"/>
              </w:rPr>
              <w:t>parat do barwienia immunohistochemicznego oraz hybrydyzacji in-situ OMNIS GI100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- </w:t>
            </w:r>
            <w:r w:rsidRPr="00956FB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przegląd</w:t>
            </w:r>
          </w:p>
        </w:tc>
        <w:tc>
          <w:tcPr>
            <w:tcW w:w="35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usługa</w:t>
            </w:r>
          </w:p>
        </w:tc>
        <w:tc>
          <w:tcPr>
            <w:tcW w:w="28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956FB6" w:rsidRPr="00956FB6" w:rsidRDefault="00956FB6" w:rsidP="00EA325E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56FB6" w:rsidRPr="00956FB6" w:rsidTr="00956FB6">
        <w:tc>
          <w:tcPr>
            <w:tcW w:w="242" w:type="pct"/>
            <w:tcBorders>
              <w:bottom w:val="single" w:sz="4" w:space="0" w:color="000000"/>
            </w:tcBorders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91" w:type="pct"/>
            <w:tcBorders>
              <w:bottom w:val="single" w:sz="4" w:space="0" w:color="000000"/>
            </w:tcBorders>
            <w:shd w:val="clear" w:color="auto" w:fill="auto"/>
          </w:tcPr>
          <w:p w:rsidR="00956FB6" w:rsidRPr="00956FB6" w:rsidRDefault="00956FB6" w:rsidP="00A9191C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956FB6">
              <w:rPr>
                <w:rFonts w:asciiTheme="minorHAnsi" w:eastAsia="Calibri" w:hAnsiTheme="minorHAnsi" w:cstheme="minorHAnsi"/>
                <w:sz w:val="20"/>
                <w:szCs w:val="20"/>
              </w:rPr>
              <w:t>parat do barwienia immunohistochemicznego oraz hybrydyzacji in-situ OMNIS GI100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A9191C">
              <w:rPr>
                <w:rFonts w:asciiTheme="minorHAnsi" w:eastAsia="Calibri" w:hAnsiTheme="minorHAnsi" w:cstheme="minorHAnsi"/>
                <w:sz w:val="20"/>
                <w:szCs w:val="20"/>
              </w:rPr>
              <w:t>–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A9191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usługi serwisowe </w:t>
            </w:r>
          </w:p>
        </w:tc>
        <w:tc>
          <w:tcPr>
            <w:tcW w:w="35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6FB6" w:rsidRPr="00956FB6" w:rsidRDefault="00A9191C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m-ce</w:t>
            </w:r>
          </w:p>
        </w:tc>
        <w:tc>
          <w:tcPr>
            <w:tcW w:w="28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56FB6" w:rsidRPr="00956FB6" w:rsidRDefault="00A9191C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56FB6" w:rsidRPr="00956FB6" w:rsidTr="00956FB6">
        <w:tc>
          <w:tcPr>
            <w:tcW w:w="242" w:type="pct"/>
            <w:tcBorders>
              <w:left w:val="nil"/>
              <w:bottom w:val="nil"/>
              <w:right w:val="nil"/>
            </w:tcBorders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5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81" w:type="pct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956FB6"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  <w:t>SUMA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956FB6" w:rsidRPr="00956FB6" w:rsidRDefault="00956FB6" w:rsidP="00956FB6">
            <w:pPr>
              <w:widowControl w:val="0"/>
              <w:tabs>
                <w:tab w:val="left" w:pos="5812"/>
              </w:tabs>
              <w:suppressAutoHyphens/>
              <w:spacing w:after="0" w:line="341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:rsidR="00956FB6" w:rsidRDefault="00956FB6" w:rsidP="00956FB6">
      <w:pPr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956FB6" w:rsidRPr="00956FB6" w:rsidRDefault="00956FB6" w:rsidP="00956FB6">
      <w:pPr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1"/>
        <w:tblW w:w="6662" w:type="dxa"/>
        <w:tblInd w:w="3114" w:type="dxa"/>
        <w:tblLook w:val="04A0" w:firstRow="1" w:lastRow="0" w:firstColumn="1" w:lastColumn="0" w:noHBand="0" w:noVBand="1"/>
      </w:tblPr>
      <w:tblGrid>
        <w:gridCol w:w="1984"/>
        <w:gridCol w:w="2552"/>
        <w:gridCol w:w="2126"/>
      </w:tblGrid>
      <w:tr w:rsidR="00956FB6" w:rsidRPr="00956FB6" w:rsidTr="00EA325E">
        <w:trPr>
          <w:trHeight w:val="41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56FB6" w:rsidRPr="00956FB6" w:rsidRDefault="00956FB6" w:rsidP="00EA325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Gwarancja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56FB6" w:rsidRPr="00956FB6" w:rsidRDefault="00956FB6" w:rsidP="00EA325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Ważność oferty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56FB6" w:rsidRPr="00956FB6" w:rsidRDefault="00956FB6" w:rsidP="00EA325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FB6">
              <w:rPr>
                <w:rFonts w:asciiTheme="minorHAnsi" w:hAnsiTheme="minorHAnsi" w:cstheme="minorHAnsi"/>
                <w:b/>
                <w:sz w:val="20"/>
                <w:szCs w:val="20"/>
              </w:rPr>
              <w:t>Termin płatności</w:t>
            </w:r>
          </w:p>
        </w:tc>
      </w:tr>
      <w:tr w:rsidR="00956FB6" w:rsidRPr="00956FB6" w:rsidTr="00EA325E">
        <w:trPr>
          <w:trHeight w:val="420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295289559"/>
            <w:placeholder>
              <w:docPart w:val="64693E5DE9324485834448E5890403EE"/>
            </w:placeholder>
            <w:showingPlcHdr/>
            <w:dropDownList>
              <w:listItem w:value="Wybierz element."/>
              <w:listItem w:displayText="3 miesiące" w:value="3 miesiące"/>
              <w:listItem w:displayText="6 miesięcy" w:value="6 miesięcy"/>
              <w:listItem w:displayText="12 miesięcy" w:value="12 miesięcy"/>
              <w:listItem w:displayText="24 miesięcy" w:value="24 miesięcy"/>
              <w:listItem w:displayText="36 miesięcy" w:value="36 miesięcy"/>
              <w:listItem w:displayText="48 miesięcy" w:value="48 miesięcy"/>
              <w:listItem w:displayText="60 miesięcy" w:value="60 miesięcy"/>
            </w:dropDownList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56FB6" w:rsidRPr="00956FB6" w:rsidRDefault="00956FB6" w:rsidP="00EA325E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56FB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</w:rPr>
                  <w:t>Wybierz element.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-1541890878"/>
            <w:placeholder>
              <w:docPart w:val="64693E5DE9324485834448E5890403EE"/>
            </w:placeholder>
            <w:showingPlcHdr/>
            <w:dropDownList>
              <w:listItem w:value="Wybierz element."/>
              <w:listItem w:displayText="30 dni" w:value="30 dni"/>
              <w:listItem w:displayText="60 dni" w:value="60 dni"/>
              <w:listItem w:displayText="90 dni" w:value="90 dni"/>
            </w:dropDownList>
          </w:sdtPr>
          <w:sdtEndPr/>
          <w:sdtContent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56FB6" w:rsidRPr="00956FB6" w:rsidRDefault="00956FB6" w:rsidP="00EA325E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56FB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</w:rPr>
                  <w:t>Wybierz element.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526296526"/>
            <w:placeholder>
              <w:docPart w:val="64693E5DE9324485834448E5890403EE"/>
            </w:placeholder>
            <w:showingPlcHdr/>
            <w:dropDownList>
              <w:listItem w:value="Wybierz element."/>
              <w:listItem w:displayText="30 dni od daty dostarczenia fv" w:value="30 dni od daty dostarczenia fv"/>
            </w:dropDownList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56FB6" w:rsidRPr="00956FB6" w:rsidRDefault="00956FB6" w:rsidP="00EA325E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56FB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</w:rPr>
                  <w:t>Wybierz element.</w:t>
                </w:r>
              </w:p>
            </w:tc>
          </w:sdtContent>
        </w:sdt>
      </w:tr>
    </w:tbl>
    <w:p w:rsidR="00956FB6" w:rsidRPr="00956FB6" w:rsidRDefault="00956FB6" w:rsidP="00956FB6">
      <w:pPr>
        <w:ind w:left="-709" w:right="-851"/>
        <w:rPr>
          <w:rFonts w:asciiTheme="minorHAnsi" w:eastAsia="Calibri" w:hAnsiTheme="minorHAnsi" w:cstheme="minorHAnsi"/>
          <w:sz w:val="20"/>
          <w:szCs w:val="20"/>
        </w:rPr>
      </w:pPr>
    </w:p>
    <w:p w:rsidR="00956FB6" w:rsidRPr="00956FB6" w:rsidRDefault="00956FB6" w:rsidP="00956FB6">
      <w:pPr>
        <w:ind w:left="-709" w:right="-851"/>
        <w:rPr>
          <w:rFonts w:asciiTheme="minorHAnsi" w:eastAsia="Calibri" w:hAnsiTheme="minorHAnsi" w:cstheme="minorHAnsi"/>
          <w:b/>
          <w:sz w:val="20"/>
          <w:szCs w:val="20"/>
        </w:rPr>
      </w:pPr>
      <w:r w:rsidRPr="00956FB6">
        <w:rPr>
          <w:rFonts w:asciiTheme="minorHAnsi" w:eastAsia="Calibri" w:hAnsiTheme="minorHAnsi" w:cstheme="minorHAnsi"/>
          <w:b/>
          <w:sz w:val="20"/>
          <w:szCs w:val="20"/>
        </w:rPr>
        <w:t>Wymagania Zamawiającego:</w:t>
      </w:r>
    </w:p>
    <w:p w:rsidR="00956FB6" w:rsidRPr="00956FB6" w:rsidRDefault="00956FB6" w:rsidP="00956FB6">
      <w:pPr>
        <w:ind w:left="-709" w:right="-851"/>
        <w:rPr>
          <w:rFonts w:asciiTheme="minorHAnsi" w:hAnsiTheme="minorHAnsi" w:cstheme="minorHAnsi"/>
          <w:b/>
          <w:sz w:val="20"/>
          <w:szCs w:val="20"/>
        </w:rPr>
      </w:pPr>
      <w:r w:rsidRPr="00956FB6">
        <w:rPr>
          <w:rFonts w:asciiTheme="minorHAnsi" w:hAnsiTheme="minorHAnsi" w:cstheme="minorHAnsi"/>
          <w:b/>
          <w:sz w:val="20"/>
          <w:szCs w:val="20"/>
        </w:rPr>
        <w:t>Czynności serwisowe w siedzibie Zamawiającego przeprowadzone przez inżyniera serwisu, posiadającego certyfikat ze szkolenia wydany przez producenta albo aut</w:t>
      </w:r>
      <w:r>
        <w:rPr>
          <w:rFonts w:asciiTheme="minorHAnsi" w:hAnsiTheme="minorHAnsi" w:cstheme="minorHAnsi"/>
          <w:b/>
          <w:sz w:val="20"/>
          <w:szCs w:val="20"/>
        </w:rPr>
        <w:t xml:space="preserve">oryzowaną jednostkę szkoleniową - </w:t>
      </w:r>
      <w:r w:rsidRPr="00956FB6">
        <w:rPr>
          <w:rFonts w:asciiTheme="minorHAnsi" w:hAnsiTheme="minorHAnsi" w:cstheme="minorHAnsi"/>
          <w:b/>
          <w:sz w:val="20"/>
          <w:szCs w:val="20"/>
        </w:rPr>
        <w:t>dokument potwierdzający przeprowadzenie szkolenia</w:t>
      </w:r>
    </w:p>
    <w:p w:rsidR="00956FB6" w:rsidRPr="00956FB6" w:rsidRDefault="00956FB6" w:rsidP="00956FB6">
      <w:pPr>
        <w:spacing w:line="256" w:lineRule="auto"/>
      </w:pPr>
    </w:p>
    <w:p w:rsidR="00956FB6" w:rsidRPr="00956FB6" w:rsidRDefault="00956FB6" w:rsidP="00956FB6">
      <w:pPr>
        <w:spacing w:line="256" w:lineRule="auto"/>
      </w:pPr>
    </w:p>
    <w:p w:rsidR="00956FB6" w:rsidRPr="00956FB6" w:rsidRDefault="00956FB6" w:rsidP="00956FB6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UWAGA!</w:t>
      </w:r>
    </w:p>
    <w:p w:rsidR="00956FB6" w:rsidRPr="00956FB6" w:rsidRDefault="00956FB6" w:rsidP="00956FB6">
      <w:pPr>
        <w:ind w:left="-851" w:right="-709"/>
        <w:jc w:val="both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Wykonawca po przeglądzie wystawi kartę pracy, w której wyszczególni wykonane czynności przeglądowe, wpisze orientacyjny termin następnego wykonania przeglądu sprzętu oraz napisze czy urządzenie jest sprawne i można je nadal bezpiecznie eksploatować.</w:t>
      </w:r>
    </w:p>
    <w:p w:rsidR="00956FB6" w:rsidRPr="00956FB6" w:rsidRDefault="00956FB6" w:rsidP="00956FB6">
      <w:pPr>
        <w:ind w:left="-851" w:right="-709"/>
        <w:jc w:val="both"/>
        <w:rPr>
          <w:rFonts w:asciiTheme="minorHAnsi" w:hAnsiTheme="minorHAnsi" w:cstheme="minorHAnsi"/>
          <w:sz w:val="20"/>
          <w:szCs w:val="20"/>
        </w:rPr>
      </w:pPr>
      <w:r w:rsidRPr="00956FB6">
        <w:rPr>
          <w:rFonts w:asciiTheme="minorHAnsi" w:hAnsiTheme="minorHAnsi" w:cstheme="minorHAnsi"/>
          <w:sz w:val="20"/>
          <w:szCs w:val="20"/>
        </w:rPr>
        <w:t>Wykonawca zapewni dostawę materiałów niezbędnych do przeprowadzenia przeglądu oraz dokona odpowiedniego wpisu do paszportu technicznego sprzętu każdorazowo po przeprowadzonym przeglądzie.</w:t>
      </w:r>
    </w:p>
    <w:p w:rsidR="00743D5D" w:rsidRPr="00956FB6" w:rsidRDefault="00743D5D">
      <w:pPr>
        <w:rPr>
          <w:rFonts w:asciiTheme="minorHAnsi" w:hAnsiTheme="minorHAnsi" w:cstheme="minorHAnsi"/>
          <w:sz w:val="20"/>
          <w:szCs w:val="20"/>
        </w:rPr>
      </w:pPr>
    </w:p>
    <w:sectPr w:rsidR="00743D5D" w:rsidRPr="00956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71D" w:rsidRDefault="00A4071D" w:rsidP="00956FB6">
      <w:pPr>
        <w:spacing w:after="0" w:line="240" w:lineRule="auto"/>
      </w:pPr>
      <w:r>
        <w:separator/>
      </w:r>
    </w:p>
  </w:endnote>
  <w:endnote w:type="continuationSeparator" w:id="0">
    <w:p w:rsidR="00A4071D" w:rsidRDefault="00A4071D" w:rsidP="0095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71D" w:rsidRDefault="00A4071D" w:rsidP="00956FB6">
      <w:pPr>
        <w:spacing w:after="0" w:line="240" w:lineRule="auto"/>
      </w:pPr>
      <w:r>
        <w:separator/>
      </w:r>
    </w:p>
  </w:footnote>
  <w:footnote w:type="continuationSeparator" w:id="0">
    <w:p w:rsidR="00A4071D" w:rsidRDefault="00A4071D" w:rsidP="00956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91165"/>
    <w:multiLevelType w:val="hybridMultilevel"/>
    <w:tmpl w:val="35CA0C0E"/>
    <w:lvl w:ilvl="0" w:tplc="EE3C240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745960"/>
    <w:multiLevelType w:val="hybridMultilevel"/>
    <w:tmpl w:val="58DA237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DB"/>
    <w:rsid w:val="00130743"/>
    <w:rsid w:val="00184487"/>
    <w:rsid w:val="002058CB"/>
    <w:rsid w:val="00286136"/>
    <w:rsid w:val="00425AA6"/>
    <w:rsid w:val="004A41DB"/>
    <w:rsid w:val="005976FC"/>
    <w:rsid w:val="00743D5D"/>
    <w:rsid w:val="0080749C"/>
    <w:rsid w:val="00956FB6"/>
    <w:rsid w:val="00A4071D"/>
    <w:rsid w:val="00A9191C"/>
    <w:rsid w:val="00B6468C"/>
    <w:rsid w:val="00C67E2E"/>
    <w:rsid w:val="00D936F8"/>
    <w:rsid w:val="00DA6790"/>
    <w:rsid w:val="00E810B3"/>
    <w:rsid w:val="00EF4D41"/>
    <w:rsid w:val="00F3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50E29-6829-4984-9F9D-DD763F17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487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4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4487"/>
    <w:pPr>
      <w:spacing w:after="0" w:line="240" w:lineRule="auto"/>
      <w:ind w:left="720"/>
      <w:contextualSpacing/>
    </w:pPr>
    <w:rPr>
      <w:rFonts w:ascii="Arial" w:eastAsia="Calibri" w:hAnsi="Arial" w:cs="Arial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56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56FB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F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6FB6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6F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9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12B6FE5DA2463090DC62E3451914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193F84-37AE-4989-B875-7E84C5B7727E}"/>
      </w:docPartPr>
      <w:docPartBody>
        <w:p w:rsidR="0034589F" w:rsidRDefault="00BE2225" w:rsidP="00BE2225">
          <w:pPr>
            <w:pStyle w:val="C712B6FE5DA2463090DC62E34519144E"/>
          </w:pPr>
          <w:r w:rsidRPr="00C52BE3">
            <w:rPr>
              <w:rStyle w:val="Tekstzastpczy"/>
            </w:rPr>
            <w:t>Wybierz element.</w:t>
          </w:r>
        </w:p>
      </w:docPartBody>
    </w:docPart>
    <w:docPart>
      <w:docPartPr>
        <w:name w:val="AA354DA9C6D441AA8CDC4FCDD21320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E12367-5D2E-42F6-8BD5-89C346B5BAF9}"/>
      </w:docPartPr>
      <w:docPartBody>
        <w:p w:rsidR="0034589F" w:rsidRDefault="00BE2225" w:rsidP="00BE2225">
          <w:pPr>
            <w:pStyle w:val="AA354DA9C6D441AA8CDC4FCDD21320BA"/>
          </w:pPr>
          <w:r w:rsidRPr="00C52BE3">
            <w:rPr>
              <w:rStyle w:val="Tekstzastpczy"/>
            </w:rPr>
            <w:t>Wybierz element.</w:t>
          </w:r>
        </w:p>
      </w:docPartBody>
    </w:docPart>
    <w:docPart>
      <w:docPartPr>
        <w:name w:val="64693E5DE9324485834448E5890403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C3702-E931-4EC9-8DBA-4F8A3ADB8217}"/>
      </w:docPartPr>
      <w:docPartBody>
        <w:p w:rsidR="0034589F" w:rsidRDefault="00BE2225" w:rsidP="00BE2225">
          <w:pPr>
            <w:pStyle w:val="64693E5DE9324485834448E5890403EE"/>
          </w:pPr>
          <w:r w:rsidRPr="00C52BE3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225"/>
    <w:rsid w:val="00156CA8"/>
    <w:rsid w:val="0034589F"/>
    <w:rsid w:val="00BE2225"/>
    <w:rsid w:val="00CB5770"/>
    <w:rsid w:val="00D62A77"/>
    <w:rsid w:val="00DD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E2225"/>
    <w:rPr>
      <w:color w:val="808080"/>
    </w:rPr>
  </w:style>
  <w:style w:type="paragraph" w:customStyle="1" w:styleId="AB5868262520421C9F65DF8203D72392">
    <w:name w:val="AB5868262520421C9F65DF8203D72392"/>
    <w:rsid w:val="00BE2225"/>
  </w:style>
  <w:style w:type="paragraph" w:customStyle="1" w:styleId="C712B6FE5DA2463090DC62E34519144E">
    <w:name w:val="C712B6FE5DA2463090DC62E34519144E"/>
    <w:rsid w:val="00BE2225"/>
  </w:style>
  <w:style w:type="paragraph" w:customStyle="1" w:styleId="AA354DA9C6D441AA8CDC4FCDD21320BA">
    <w:name w:val="AA354DA9C6D441AA8CDC4FCDD21320BA"/>
    <w:rsid w:val="00BE2225"/>
  </w:style>
  <w:style w:type="paragraph" w:customStyle="1" w:styleId="64693E5DE9324485834448E5890403EE">
    <w:name w:val="64693E5DE9324485834448E5890403EE"/>
    <w:rsid w:val="00BE22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Magdalena Filipek</cp:lastModifiedBy>
  <cp:revision>2</cp:revision>
  <cp:lastPrinted>2025-04-01T08:44:00Z</cp:lastPrinted>
  <dcterms:created xsi:type="dcterms:W3CDTF">2025-04-01T14:08:00Z</dcterms:created>
  <dcterms:modified xsi:type="dcterms:W3CDTF">2025-04-01T14:08:00Z</dcterms:modified>
</cp:coreProperties>
</file>